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87087" w14:textId="00BA496C" w:rsidR="00723CF3" w:rsidRPr="005D12C6" w:rsidRDefault="00723CF3" w:rsidP="00723CF3">
      <w:pPr>
        <w:jc w:val="center"/>
        <w:rPr>
          <w:rFonts w:ascii="GalanoGrotesque-Bold" w:eastAsia="Calibri" w:hAnsi="GalanoGrotesque-Bold" w:cs="Times New Roman"/>
          <w:b/>
          <w:color w:val="000000"/>
          <w:sz w:val="32"/>
          <w:szCs w:val="32"/>
        </w:rPr>
      </w:pPr>
    </w:p>
    <w:p w14:paraId="7631AF73" w14:textId="77777777" w:rsidR="00770337" w:rsidRPr="005D12C6" w:rsidRDefault="00770337" w:rsidP="00723CF3">
      <w:pPr>
        <w:jc w:val="center"/>
        <w:rPr>
          <w:rFonts w:ascii="GalanoGrotesque-Bold" w:eastAsia="Calibri" w:hAnsi="GalanoGrotesque-Bold" w:cs="Times New Roman"/>
          <w:b/>
          <w:color w:val="000000"/>
          <w:sz w:val="32"/>
          <w:szCs w:val="32"/>
        </w:rPr>
      </w:pPr>
    </w:p>
    <w:p w14:paraId="35FB0A19" w14:textId="6B2B469C" w:rsidR="007F3EC4" w:rsidRPr="005D12C6" w:rsidRDefault="003E45D3" w:rsidP="007F3EC4">
      <w:pPr>
        <w:jc w:val="center"/>
        <w:rPr>
          <w:rFonts w:ascii="GalanoGrotesque-Bold" w:eastAsia="Calibri" w:hAnsi="GalanoGrotesque-Bold" w:cs="Times New Roman"/>
          <w:b/>
          <w:color w:val="000000"/>
          <w:sz w:val="32"/>
          <w:szCs w:val="32"/>
        </w:rPr>
      </w:pPr>
      <w:r w:rsidRPr="005D12C6">
        <w:rPr>
          <w:noProof/>
          <w:color w:val="864A04" w:themeColor="accent2" w:themeShade="80"/>
          <w:lang w:val="es-MX" w:eastAsia="es-MX"/>
        </w:rPr>
        <w:drawing>
          <wp:anchor distT="0" distB="0" distL="114300" distR="114300" simplePos="0" relativeHeight="252056064" behindDoc="1" locked="0" layoutInCell="1" allowOverlap="1" wp14:anchorId="1064D17D" wp14:editId="00EFF229">
            <wp:simplePos x="0" y="0"/>
            <wp:positionH relativeFrom="margin">
              <wp:align>right</wp:align>
            </wp:positionH>
            <wp:positionV relativeFrom="paragraph">
              <wp:posOffset>-66951</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Pr="005D12C6" w:rsidRDefault="00CF46A5" w:rsidP="00CF46A5">
      <w:pPr>
        <w:rPr>
          <w:color w:val="864A04" w:themeColor="accent2" w:themeShade="80"/>
        </w:rPr>
      </w:pPr>
    </w:p>
    <w:p w14:paraId="15ABBCC1" w14:textId="15AFB09F" w:rsidR="001C74D7" w:rsidRPr="005D12C6" w:rsidRDefault="001C74D7" w:rsidP="001C74D7">
      <w:pPr>
        <w:rPr>
          <w:color w:val="864A04" w:themeColor="accent2" w:themeShade="80"/>
        </w:rPr>
      </w:pPr>
    </w:p>
    <w:p w14:paraId="7874F062" w14:textId="2066DD8A" w:rsidR="005214E3" w:rsidRPr="005D12C6" w:rsidRDefault="005214E3" w:rsidP="001C74D7">
      <w:pPr>
        <w:rPr>
          <w:color w:val="864A04" w:themeColor="accent2" w:themeShade="80"/>
        </w:rPr>
      </w:pPr>
    </w:p>
    <w:p w14:paraId="3936C940" w14:textId="6406E036" w:rsidR="005214E3" w:rsidRPr="005D12C6" w:rsidRDefault="005214E3" w:rsidP="001C74D7">
      <w:pPr>
        <w:rPr>
          <w:color w:val="864A04" w:themeColor="accent2" w:themeShade="80"/>
        </w:rPr>
      </w:pPr>
    </w:p>
    <w:p w14:paraId="05D37A97" w14:textId="25F96995" w:rsidR="005214E3" w:rsidRPr="005D12C6" w:rsidRDefault="005214E3" w:rsidP="001C74D7">
      <w:pPr>
        <w:rPr>
          <w:color w:val="864A04" w:themeColor="accent2" w:themeShade="80"/>
        </w:rPr>
      </w:pPr>
    </w:p>
    <w:p w14:paraId="1D129A45" w14:textId="77777777" w:rsidR="001C74D7" w:rsidRPr="005D12C6" w:rsidRDefault="001C74D7" w:rsidP="001C74D7">
      <w:pPr>
        <w:rPr>
          <w:color w:val="864A04" w:themeColor="accent2" w:themeShade="80"/>
        </w:rPr>
      </w:pPr>
    </w:p>
    <w:p w14:paraId="6DB5115F" w14:textId="77777777" w:rsidR="001C74D7" w:rsidRPr="005D12C6" w:rsidRDefault="001C74D7" w:rsidP="001C74D7">
      <w:pPr>
        <w:rPr>
          <w:color w:val="864A04" w:themeColor="accent2" w:themeShade="80"/>
        </w:rPr>
      </w:pPr>
    </w:p>
    <w:p w14:paraId="56684E37" w14:textId="77777777" w:rsidR="001C74D7" w:rsidRPr="005D12C6" w:rsidRDefault="001C74D7" w:rsidP="001C74D7">
      <w:pPr>
        <w:rPr>
          <w:noProof/>
          <w:lang w:eastAsia="es-MX"/>
        </w:rPr>
      </w:pPr>
    </w:p>
    <w:p w14:paraId="7A8D729D" w14:textId="77777777" w:rsidR="001C74D7" w:rsidRPr="005D12C6" w:rsidRDefault="001C74D7" w:rsidP="001C74D7">
      <w:pPr>
        <w:rPr>
          <w:noProof/>
          <w:lang w:eastAsia="es-MX"/>
        </w:rPr>
      </w:pPr>
    </w:p>
    <w:p w14:paraId="1F72DAB0" w14:textId="77777777" w:rsidR="001C74D7" w:rsidRPr="005D12C6" w:rsidRDefault="001C74D7" w:rsidP="001C74D7">
      <w:pPr>
        <w:rPr>
          <w:color w:val="864A04" w:themeColor="accent2" w:themeShade="80"/>
        </w:rPr>
      </w:pPr>
    </w:p>
    <w:p w14:paraId="143C49E9" w14:textId="77777777" w:rsidR="001C74D7" w:rsidRPr="005D12C6" w:rsidRDefault="001C74D7" w:rsidP="001C74D7">
      <w:pPr>
        <w:rPr>
          <w:color w:val="864A04" w:themeColor="accent2" w:themeShade="80"/>
        </w:rPr>
      </w:pPr>
      <w:r w:rsidRPr="005D12C6">
        <w:rPr>
          <w:color w:val="864A04" w:themeColor="accent2" w:themeShade="80"/>
        </w:rPr>
        <w:br w:type="page"/>
      </w:r>
    </w:p>
    <w:p w14:paraId="67EC3D6B" w14:textId="77777777" w:rsidR="00E72F3C" w:rsidRPr="005D12C6" w:rsidRDefault="00E72F3C" w:rsidP="00F76D9E">
      <w:pPr>
        <w:rPr>
          <w:rFonts w:ascii="GalanoGrotesque-Bold" w:eastAsia="Times New Roman" w:hAnsi="GalanoGrotesque-Bold" w:cs="Times New Roman"/>
          <w:b/>
          <w:sz w:val="22"/>
          <w:szCs w:val="28"/>
        </w:rPr>
      </w:pPr>
    </w:p>
    <w:p w14:paraId="6CFD208A" w14:textId="77777777" w:rsidR="00065CC6" w:rsidRPr="005D12C6" w:rsidRDefault="00065CC6" w:rsidP="00F76D9E">
      <w:pPr>
        <w:rPr>
          <w:rFonts w:ascii="GalanoGrotesque-Bold" w:eastAsia="Times New Roman" w:hAnsi="GalanoGrotesque-Bold" w:cs="Times New Roman"/>
          <w:b/>
          <w:sz w:val="22"/>
          <w:szCs w:val="28"/>
        </w:rPr>
      </w:pPr>
    </w:p>
    <w:p w14:paraId="45D632D6" w14:textId="77777777" w:rsidR="00B82D70" w:rsidRPr="005D12C6" w:rsidRDefault="00B82D70" w:rsidP="00CD477C">
      <w:pPr>
        <w:spacing w:before="0" w:after="0"/>
        <w:rPr>
          <w:rFonts w:eastAsia="Times New Roman" w:cs="Times New Roman"/>
          <w:b/>
          <w:sz w:val="26"/>
          <w:szCs w:val="22"/>
        </w:rPr>
      </w:pPr>
      <w:r w:rsidRPr="005D12C6">
        <w:rPr>
          <w:rFonts w:eastAsia="Times New Roman" w:cs="Times New Roman"/>
          <w:b/>
          <w:sz w:val="26"/>
          <w:szCs w:val="22"/>
        </w:rPr>
        <w:t>1.8 NOTAS A LOS ESTADOS FINANCIEROS</w:t>
      </w:r>
    </w:p>
    <w:p w14:paraId="45691A60" w14:textId="77777777" w:rsidR="00B82D70" w:rsidRPr="005D12C6" w:rsidRDefault="00B82D70" w:rsidP="00CD477C">
      <w:pPr>
        <w:spacing w:before="0" w:after="0"/>
        <w:rPr>
          <w:rFonts w:eastAsia="Calibri" w:cs="Times New Roman"/>
          <w:bCs/>
          <w:color w:val="000000"/>
          <w:sz w:val="22"/>
          <w:szCs w:val="22"/>
        </w:rPr>
      </w:pPr>
    </w:p>
    <w:p w14:paraId="6C25BE86" w14:textId="1F62A710" w:rsidR="00B82D70" w:rsidRPr="005D12C6" w:rsidRDefault="00B82D70" w:rsidP="00CD477C">
      <w:pPr>
        <w:spacing w:before="0" w:after="0"/>
        <w:rPr>
          <w:rFonts w:eastAsia="Calibri" w:cs="Times New Roman"/>
          <w:bCs/>
          <w:color w:val="000000"/>
          <w:sz w:val="22"/>
          <w:szCs w:val="22"/>
        </w:rPr>
      </w:pPr>
      <w:r w:rsidRPr="005D12C6">
        <w:rPr>
          <w:rFonts w:eastAsia="Calibri" w:cs="Times New Roman"/>
          <w:bCs/>
          <w:color w:val="000000"/>
          <w:sz w:val="22"/>
          <w:szCs w:val="22"/>
        </w:rPr>
        <w:t xml:space="preserve">Las notas que se adjuntan al presente informe, son parte integrante de los estados financieros, correspondientes al </w:t>
      </w:r>
      <w:r w:rsidR="00B45C92" w:rsidRPr="005D12C6">
        <w:rPr>
          <w:color w:val="000000" w:themeColor="text1"/>
          <w:sz w:val="22"/>
          <w:szCs w:val="22"/>
          <w:lang w:val="es-ES_tradnl"/>
        </w:rPr>
        <w:t>Segundo</w:t>
      </w:r>
      <w:r w:rsidRPr="005D12C6">
        <w:rPr>
          <w:rFonts w:eastAsia="Calibri" w:cs="Times New Roman"/>
          <w:bCs/>
          <w:color w:val="000000"/>
          <w:sz w:val="22"/>
          <w:szCs w:val="22"/>
        </w:rPr>
        <w:t xml:space="preserve"> Trimestre del ejercicio fiscal 202</w:t>
      </w:r>
      <w:r w:rsidR="006514BE" w:rsidRPr="005D12C6">
        <w:rPr>
          <w:rFonts w:eastAsia="Calibri" w:cs="Times New Roman"/>
          <w:bCs/>
          <w:color w:val="000000"/>
          <w:sz w:val="22"/>
          <w:szCs w:val="22"/>
        </w:rPr>
        <w:t>4</w:t>
      </w:r>
      <w:r w:rsidRPr="005D12C6">
        <w:rPr>
          <w:rFonts w:eastAsia="Calibri" w:cs="Times New Roman"/>
          <w:bCs/>
          <w:color w:val="000000"/>
          <w:sz w:val="22"/>
          <w:szCs w:val="22"/>
        </w:rPr>
        <w:t xml:space="preserve">; las cuales, tienen como propósito aclarar o detallar la información y cifras en los mismos, y se presentan </w:t>
      </w:r>
      <w:r w:rsidRPr="005D12C6">
        <w:rPr>
          <w:rFonts w:eastAsia="Calibri" w:cs="Times New Roman"/>
          <w:sz w:val="22"/>
          <w:szCs w:val="22"/>
        </w:rPr>
        <w:t>en cumplimiento de los artículos 47 y 49 de la Ley General de Contabilidad Gubernamental</w:t>
      </w:r>
      <w:r w:rsidRPr="005D12C6">
        <w:rPr>
          <w:rFonts w:eastAsia="Calibri" w:cs="Times New Roman"/>
          <w:bCs/>
          <w:color w:val="000000"/>
          <w:sz w:val="22"/>
          <w:szCs w:val="22"/>
        </w:rPr>
        <w:t xml:space="preserve"> y del </w:t>
      </w:r>
      <w:bookmarkStart w:id="1" w:name="_Hlk166236541"/>
      <w:r w:rsidRPr="005D12C6">
        <w:rPr>
          <w:rFonts w:eastAsia="Calibri" w:cs="Times New Roman"/>
          <w:bCs/>
          <w:color w:val="000000"/>
          <w:sz w:val="22"/>
          <w:szCs w:val="22"/>
        </w:rPr>
        <w:t>Acuerdo que reforma los Capítulos III y VII del Manual de Contabilidad Gubernamental, publicado en el Diario Oficial de la Federación del 27 de septiembre de 2018</w:t>
      </w:r>
      <w:r w:rsidR="00466200" w:rsidRPr="005D12C6">
        <w:rPr>
          <w:rFonts w:eastAsia="Calibri" w:cs="Times New Roman"/>
          <w:bCs/>
          <w:color w:val="000000"/>
          <w:sz w:val="22"/>
          <w:szCs w:val="22"/>
        </w:rPr>
        <w:t>,</w:t>
      </w:r>
      <w:r w:rsidRPr="005D12C6">
        <w:rPr>
          <w:rFonts w:eastAsia="Calibri" w:cs="Times New Roman"/>
          <w:bCs/>
          <w:color w:val="000000"/>
          <w:sz w:val="22"/>
          <w:szCs w:val="22"/>
        </w:rPr>
        <w:t xml:space="preserve"> 23 de diciembre del 2020</w:t>
      </w:r>
      <w:r w:rsidR="00466200" w:rsidRPr="005D12C6">
        <w:rPr>
          <w:rFonts w:eastAsia="Calibri" w:cs="Times New Roman"/>
          <w:bCs/>
          <w:color w:val="000000"/>
          <w:sz w:val="22"/>
          <w:szCs w:val="22"/>
        </w:rPr>
        <w:t xml:space="preserve"> y 6 de diciembre de 2022</w:t>
      </w:r>
      <w:r w:rsidR="0078025E" w:rsidRPr="005D12C6">
        <w:rPr>
          <w:rFonts w:eastAsia="Calibri" w:cs="Times New Roman"/>
          <w:bCs/>
          <w:color w:val="000000"/>
          <w:sz w:val="22"/>
          <w:szCs w:val="22"/>
        </w:rPr>
        <w:t>,</w:t>
      </w:r>
      <w:r w:rsidRPr="005D12C6">
        <w:rPr>
          <w:rFonts w:eastAsia="Calibri" w:cs="Times New Roman"/>
          <w:bCs/>
          <w:color w:val="000000"/>
          <w:sz w:val="22"/>
          <w:szCs w:val="22"/>
        </w:rPr>
        <w:t xml:space="preserve"> respectivamente.</w:t>
      </w:r>
      <w:bookmarkEnd w:id="1"/>
    </w:p>
    <w:p w14:paraId="7F0AF8DC" w14:textId="766F4F0D" w:rsidR="00B82D70" w:rsidRPr="005D12C6" w:rsidRDefault="00B82D70" w:rsidP="00CD477C">
      <w:pPr>
        <w:spacing w:before="0" w:after="0"/>
        <w:rPr>
          <w:rFonts w:eastAsia="Calibri" w:cs="Times New Roman"/>
          <w:bCs/>
          <w:color w:val="000000"/>
          <w:sz w:val="22"/>
          <w:szCs w:val="22"/>
        </w:rPr>
      </w:pPr>
    </w:p>
    <w:p w14:paraId="62FA1C8F" w14:textId="2C258AA5" w:rsidR="00B82D70" w:rsidRPr="005D12C6" w:rsidRDefault="00B82D70" w:rsidP="00CD477C">
      <w:pPr>
        <w:spacing w:before="0" w:after="0"/>
        <w:rPr>
          <w:rFonts w:eastAsia="Calibri" w:cs="Times New Roman"/>
          <w:bCs/>
          <w:color w:val="000000"/>
          <w:sz w:val="22"/>
          <w:szCs w:val="22"/>
        </w:rPr>
      </w:pPr>
      <w:r w:rsidRPr="005D12C6">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5D12C6">
        <w:rPr>
          <w:rFonts w:eastAsia="Calibri" w:cs="Times New Roman"/>
          <w:bCs/>
          <w:color w:val="000000"/>
          <w:sz w:val="22"/>
          <w:szCs w:val="22"/>
        </w:rPr>
        <w:t>con</w:t>
      </w:r>
      <w:r w:rsidRPr="005D12C6">
        <w:rPr>
          <w:rFonts w:eastAsia="Calibri" w:cs="Times New Roman"/>
          <w:bCs/>
          <w:color w:val="000000"/>
          <w:sz w:val="22"/>
          <w:szCs w:val="22"/>
        </w:rPr>
        <w:t xml:space="preserve"> lo establecido en la Ley General de Contabilidad Gubernamental.</w:t>
      </w:r>
    </w:p>
    <w:p w14:paraId="302697E8" w14:textId="24FBCDAB" w:rsidR="00B82D70" w:rsidRPr="005D12C6" w:rsidRDefault="00B82D70" w:rsidP="00CD477C">
      <w:pPr>
        <w:spacing w:before="0" w:after="0"/>
        <w:rPr>
          <w:rFonts w:eastAsia="Calibri" w:cs="Times New Roman"/>
          <w:bCs/>
          <w:color w:val="000000"/>
          <w:sz w:val="22"/>
          <w:szCs w:val="22"/>
        </w:rPr>
      </w:pPr>
    </w:p>
    <w:p w14:paraId="539E5FB8" w14:textId="6ACD5F6A" w:rsidR="00B82D70" w:rsidRPr="005D12C6" w:rsidRDefault="00B82D70" w:rsidP="00CD477C">
      <w:pPr>
        <w:spacing w:before="0" w:after="0"/>
        <w:rPr>
          <w:rFonts w:eastAsia="Calibri" w:cs="Times New Roman"/>
          <w:bCs/>
          <w:color w:val="000000"/>
          <w:sz w:val="22"/>
          <w:szCs w:val="22"/>
        </w:rPr>
      </w:pPr>
      <w:r w:rsidRPr="005D12C6">
        <w:rPr>
          <w:rFonts w:eastAsia="Calibri" w:cs="Times New Roman"/>
          <w:bCs/>
          <w:color w:val="000000"/>
          <w:sz w:val="22"/>
          <w:szCs w:val="22"/>
        </w:rPr>
        <w:t xml:space="preserve">De conformidad con la citada Ley, así como </w:t>
      </w:r>
      <w:r w:rsidR="00485F96" w:rsidRPr="005D12C6">
        <w:rPr>
          <w:rFonts w:eastAsia="Calibri" w:cs="Times New Roman"/>
          <w:bCs/>
          <w:color w:val="000000"/>
          <w:sz w:val="22"/>
          <w:szCs w:val="22"/>
        </w:rPr>
        <w:t xml:space="preserve">con </w:t>
      </w:r>
      <w:r w:rsidRPr="005D12C6">
        <w:rPr>
          <w:rFonts w:eastAsia="Calibri" w:cs="Times New Roman"/>
          <w:bCs/>
          <w:color w:val="000000"/>
          <w:sz w:val="22"/>
          <w:szCs w:val="22"/>
        </w:rPr>
        <w:t>la normativ</w:t>
      </w:r>
      <w:r w:rsidR="001C365F" w:rsidRPr="005D12C6">
        <w:rPr>
          <w:rFonts w:eastAsia="Calibri" w:cs="Times New Roman"/>
          <w:bCs/>
          <w:color w:val="000000"/>
          <w:sz w:val="22"/>
          <w:szCs w:val="22"/>
        </w:rPr>
        <w:t xml:space="preserve">a </w:t>
      </w:r>
      <w:r w:rsidRPr="005D12C6">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5D12C6" w:rsidRDefault="00DE384C" w:rsidP="00CD477C">
      <w:pPr>
        <w:spacing w:before="0" w:after="0"/>
        <w:rPr>
          <w:rFonts w:eastAsia="Calibri" w:cs="Times New Roman"/>
          <w:bCs/>
          <w:color w:val="000000"/>
          <w:sz w:val="22"/>
          <w:szCs w:val="22"/>
        </w:rPr>
      </w:pPr>
    </w:p>
    <w:p w14:paraId="26DDA75F" w14:textId="7F972A75" w:rsidR="00BD4F6A" w:rsidRPr="005D12C6" w:rsidRDefault="00BD4F6A" w:rsidP="00CD477C">
      <w:pPr>
        <w:numPr>
          <w:ilvl w:val="0"/>
          <w:numId w:val="3"/>
        </w:numPr>
        <w:spacing w:before="0" w:after="0"/>
        <w:ind w:left="709"/>
        <w:jc w:val="left"/>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 xml:space="preserve">Notas de gestión administrativa </w:t>
      </w:r>
    </w:p>
    <w:p w14:paraId="6E905047" w14:textId="04BFFCB7" w:rsidR="00B82D70" w:rsidRPr="005D12C6"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Notas de desglose</w:t>
      </w:r>
      <w:r w:rsidR="00BD4F6A" w:rsidRPr="005D12C6">
        <w:rPr>
          <w:rFonts w:eastAsia="Times New Roman" w:cs="Times New Roman"/>
          <w:bCs/>
          <w:color w:val="000000"/>
          <w:sz w:val="22"/>
          <w:szCs w:val="22"/>
          <w:lang w:eastAsia="es-MX"/>
        </w:rPr>
        <w:t>, y</w:t>
      </w:r>
    </w:p>
    <w:p w14:paraId="31649C9E" w14:textId="28220C23" w:rsidR="00B82D70" w:rsidRPr="005D12C6"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Notas de memoria.</w:t>
      </w:r>
    </w:p>
    <w:p w14:paraId="573BF512" w14:textId="5211BA38" w:rsidR="00B82D70" w:rsidRPr="005D12C6" w:rsidRDefault="00B82D70" w:rsidP="00B82D70">
      <w:pPr>
        <w:spacing w:before="0" w:after="0"/>
        <w:jc w:val="center"/>
        <w:rPr>
          <w:rFonts w:eastAsia="Calibri" w:cs="Times New Roman"/>
          <w:b/>
          <w:sz w:val="22"/>
          <w:szCs w:val="22"/>
        </w:rPr>
      </w:pPr>
    </w:p>
    <w:p w14:paraId="3235A25C" w14:textId="21BE03C8" w:rsidR="00B82D70" w:rsidRPr="005D12C6" w:rsidRDefault="00B82D70" w:rsidP="00B82D70">
      <w:pPr>
        <w:rPr>
          <w:rFonts w:eastAsia="Calibri" w:cs="Times New Roman"/>
          <w:b/>
        </w:rPr>
      </w:pPr>
      <w:r w:rsidRPr="005D12C6">
        <w:rPr>
          <w:rFonts w:eastAsia="Calibri" w:cs="Times New Roman"/>
          <w:b/>
        </w:rPr>
        <w:br w:type="page"/>
      </w:r>
    </w:p>
    <w:p w14:paraId="3ECDE942" w14:textId="77777777" w:rsidR="00BD4F6A" w:rsidRPr="005D12C6" w:rsidRDefault="00BD4F6A" w:rsidP="00BD4F6A">
      <w:pPr>
        <w:spacing w:before="0" w:after="0"/>
        <w:jc w:val="center"/>
        <w:rPr>
          <w:rFonts w:eastAsia="Calibri" w:cs="Times New Roman"/>
          <w:b/>
          <w:sz w:val="28"/>
          <w:szCs w:val="28"/>
        </w:rPr>
      </w:pPr>
      <w:r w:rsidRPr="005D12C6">
        <w:rPr>
          <w:rFonts w:eastAsia="Calibri" w:cs="Times New Roman"/>
          <w:b/>
          <w:sz w:val="28"/>
          <w:szCs w:val="28"/>
        </w:rPr>
        <w:lastRenderedPageBreak/>
        <w:t>C) NOTAS DE GESTIÓN ADMINISTRATIVA</w:t>
      </w:r>
    </w:p>
    <w:p w14:paraId="7C7A6822" w14:textId="77777777" w:rsidR="00BD4F6A" w:rsidRPr="005D12C6"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5D12C6" w:rsidRDefault="00BD4F6A" w:rsidP="00BD4F6A">
      <w:pPr>
        <w:spacing w:before="0" w:after="0"/>
        <w:rPr>
          <w:rFonts w:eastAsia="Calibri" w:cs="Times New Roman"/>
          <w:b/>
          <w:bCs/>
          <w:sz w:val="22"/>
          <w:szCs w:val="22"/>
        </w:rPr>
      </w:pPr>
      <w:r w:rsidRPr="005D12C6">
        <w:rPr>
          <w:rFonts w:eastAsia="Calibri" w:cs="Times New Roman"/>
          <w:b/>
          <w:bCs/>
          <w:sz w:val="22"/>
          <w:szCs w:val="22"/>
        </w:rPr>
        <w:t>Introducción</w:t>
      </w:r>
    </w:p>
    <w:p w14:paraId="5156CE48" w14:textId="77777777" w:rsidR="00BD4F6A" w:rsidRPr="005D12C6" w:rsidRDefault="00BD4F6A" w:rsidP="00BD4F6A">
      <w:pPr>
        <w:spacing w:before="0" w:after="0"/>
        <w:jc w:val="left"/>
        <w:rPr>
          <w:rFonts w:eastAsia="Calibri" w:cs="Times New Roman"/>
          <w:sz w:val="22"/>
          <w:szCs w:val="22"/>
        </w:rPr>
      </w:pPr>
    </w:p>
    <w:p w14:paraId="0A349007" w14:textId="77777777" w:rsidR="00BD4F6A" w:rsidRPr="005D12C6" w:rsidRDefault="00BD4F6A" w:rsidP="00BD4F6A">
      <w:pPr>
        <w:spacing w:after="0"/>
        <w:rPr>
          <w:rFonts w:eastAsia="Calibri" w:cs="Times New Roman"/>
        </w:rPr>
      </w:pPr>
      <w:r w:rsidRPr="005D12C6">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1D86174A" w14:textId="77777777" w:rsidR="00BD4F6A" w:rsidRPr="005D12C6" w:rsidRDefault="00BD4F6A" w:rsidP="00BD4F6A">
      <w:pPr>
        <w:spacing w:after="0"/>
        <w:rPr>
          <w:rFonts w:eastAsia="Calibri" w:cs="Times New Roman"/>
          <w:sz w:val="22"/>
          <w:szCs w:val="22"/>
        </w:rPr>
      </w:pPr>
    </w:p>
    <w:p w14:paraId="3C3834F2" w14:textId="062D9381" w:rsidR="00BD4F6A" w:rsidRPr="005D12C6" w:rsidRDefault="00BD4F6A" w:rsidP="00BD4F6A">
      <w:pPr>
        <w:spacing w:after="0"/>
        <w:rPr>
          <w:rFonts w:eastAsia="Calibri" w:cs="Times New Roman"/>
        </w:rPr>
      </w:pPr>
      <w:r w:rsidRPr="005D12C6">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w:t>
      </w:r>
      <w:r w:rsidR="00053575" w:rsidRPr="005D12C6">
        <w:rPr>
          <w:rFonts w:eastAsia="Calibri" w:cs="Times New Roman"/>
          <w:sz w:val="22"/>
          <w:szCs w:val="22"/>
        </w:rPr>
        <w:t>3</w:t>
      </w:r>
      <w:r w:rsidR="0013071F" w:rsidRPr="005D12C6">
        <w:rPr>
          <w:rFonts w:eastAsia="Calibri" w:cs="Times New Roman"/>
          <w:sz w:val="22"/>
          <w:szCs w:val="22"/>
        </w:rPr>
        <w:t>0</w:t>
      </w:r>
      <w:r w:rsidR="00053575" w:rsidRPr="005D12C6">
        <w:rPr>
          <w:rFonts w:eastAsia="Calibri" w:cs="Times New Roman"/>
          <w:sz w:val="22"/>
          <w:szCs w:val="22"/>
        </w:rPr>
        <w:t xml:space="preserve"> de </w:t>
      </w:r>
      <w:r w:rsidR="00C32197" w:rsidRPr="005D12C6">
        <w:rPr>
          <w:rFonts w:eastAsia="Calibri" w:cs="Times New Roman"/>
          <w:sz w:val="22"/>
          <w:szCs w:val="22"/>
        </w:rPr>
        <w:t>junio</w:t>
      </w:r>
      <w:r w:rsidR="00856294" w:rsidRPr="005D12C6">
        <w:rPr>
          <w:rFonts w:eastAsia="Calibri" w:cs="Times New Roman"/>
          <w:sz w:val="22"/>
          <w:szCs w:val="22"/>
        </w:rPr>
        <w:t xml:space="preserve"> </w:t>
      </w:r>
      <w:r w:rsidR="00465334" w:rsidRPr="005D12C6">
        <w:rPr>
          <w:rFonts w:eastAsia="Calibri" w:cs="Times New Roman"/>
          <w:sz w:val="22"/>
          <w:szCs w:val="22"/>
        </w:rPr>
        <w:t>de</w:t>
      </w:r>
      <w:r w:rsidRPr="005D12C6">
        <w:rPr>
          <w:rFonts w:eastAsia="Calibri" w:cs="Times New Roman"/>
          <w:sz w:val="22"/>
          <w:szCs w:val="22"/>
        </w:rPr>
        <w:t xml:space="preserve"> 202</w:t>
      </w:r>
      <w:r w:rsidR="00465334" w:rsidRPr="005D12C6">
        <w:rPr>
          <w:rFonts w:eastAsia="Calibri" w:cs="Times New Roman"/>
          <w:sz w:val="22"/>
          <w:szCs w:val="22"/>
        </w:rPr>
        <w:t>4</w:t>
      </w:r>
      <w:r w:rsidRPr="005D12C6">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5D12C6" w:rsidRDefault="00BD4F6A" w:rsidP="00BD4F6A">
      <w:pPr>
        <w:spacing w:after="0"/>
        <w:rPr>
          <w:rFonts w:eastAsia="Calibri" w:cs="Times New Roman"/>
          <w:sz w:val="22"/>
          <w:szCs w:val="22"/>
        </w:rPr>
      </w:pPr>
    </w:p>
    <w:p w14:paraId="5658D75D" w14:textId="77777777" w:rsidR="00BD4F6A" w:rsidRPr="005D12C6" w:rsidRDefault="00BD4F6A" w:rsidP="00BD4F6A">
      <w:pPr>
        <w:spacing w:after="0"/>
        <w:rPr>
          <w:rFonts w:eastAsia="Calibri" w:cs="Times New Roman"/>
        </w:rPr>
      </w:pPr>
      <w:r w:rsidRPr="005D12C6">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5D12C6" w:rsidRDefault="00BD4F6A" w:rsidP="00BD4F6A">
      <w:pPr>
        <w:spacing w:before="0" w:after="0"/>
        <w:jc w:val="left"/>
        <w:rPr>
          <w:rFonts w:eastAsia="Calibri" w:cs="Times New Roman"/>
          <w:sz w:val="22"/>
          <w:szCs w:val="22"/>
        </w:rPr>
      </w:pPr>
    </w:p>
    <w:p w14:paraId="3D61CF8F" w14:textId="77777777" w:rsidR="00BD4F6A" w:rsidRPr="005D12C6" w:rsidRDefault="00BD4F6A" w:rsidP="00BD4F6A">
      <w:pPr>
        <w:spacing w:before="0" w:after="0"/>
        <w:rPr>
          <w:rFonts w:eastAsia="Calibri" w:cs="Times New Roman"/>
          <w:sz w:val="22"/>
          <w:szCs w:val="22"/>
        </w:rPr>
      </w:pPr>
      <w:r w:rsidRPr="005D12C6">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5D12C6" w:rsidRDefault="00BD4F6A" w:rsidP="00BD4F6A">
      <w:pPr>
        <w:spacing w:before="0" w:after="0"/>
        <w:rPr>
          <w:rFonts w:eastAsia="Calibri" w:cs="Times New Roman"/>
          <w:sz w:val="22"/>
          <w:szCs w:val="22"/>
        </w:rPr>
      </w:pPr>
    </w:p>
    <w:p w14:paraId="65518E5B" w14:textId="2E281B1B" w:rsidR="00BD4F6A" w:rsidRPr="00936BEF" w:rsidRDefault="00BD4F6A" w:rsidP="00BD4F6A">
      <w:pPr>
        <w:spacing w:before="0" w:after="0"/>
        <w:rPr>
          <w:rFonts w:eastAsia="Calibri" w:cs="Times New Roman"/>
          <w:sz w:val="22"/>
          <w:szCs w:val="22"/>
        </w:rPr>
      </w:pPr>
      <w:r w:rsidRPr="00936BEF">
        <w:rPr>
          <w:rFonts w:eastAsia="Calibri" w:cs="Times New Roman"/>
          <w:sz w:val="22"/>
          <w:szCs w:val="22"/>
        </w:rPr>
        <w:t>En este contexto, en la normativa aplicable se establecen registros que permiten identificar la interrelación de las operaciones.</w:t>
      </w:r>
    </w:p>
    <w:p w14:paraId="673824B1" w14:textId="5A1C9EAC" w:rsidR="00F60726" w:rsidRPr="00936BEF" w:rsidRDefault="00F60726" w:rsidP="00BD4F6A">
      <w:pPr>
        <w:spacing w:before="0" w:after="0"/>
        <w:rPr>
          <w:rFonts w:eastAsia="Calibri" w:cs="Times New Roman"/>
          <w:sz w:val="22"/>
          <w:szCs w:val="22"/>
        </w:rPr>
      </w:pPr>
    </w:p>
    <w:p w14:paraId="6FE4916F" w14:textId="77777777" w:rsidR="00F60726" w:rsidRPr="00936BEF" w:rsidRDefault="00F60726" w:rsidP="00BD4F6A">
      <w:pPr>
        <w:spacing w:before="0" w:after="0"/>
        <w:rPr>
          <w:rFonts w:eastAsia="Calibri" w:cs="Times New Roman"/>
          <w:sz w:val="22"/>
          <w:szCs w:val="22"/>
        </w:rPr>
      </w:pPr>
    </w:p>
    <w:p w14:paraId="53A49913" w14:textId="6C914591" w:rsidR="00367FCA" w:rsidRPr="00936BEF" w:rsidRDefault="00367FCA" w:rsidP="00BD4F6A">
      <w:pPr>
        <w:spacing w:before="0" w:after="0"/>
        <w:rPr>
          <w:rFonts w:eastAsia="Calibri" w:cs="Times New Roman"/>
          <w:sz w:val="22"/>
          <w:szCs w:val="22"/>
        </w:rPr>
      </w:pPr>
    </w:p>
    <w:p w14:paraId="14A5284D" w14:textId="2A04E82D" w:rsidR="00367FCA" w:rsidRPr="00936BEF" w:rsidRDefault="00367FCA" w:rsidP="00367FCA">
      <w:pPr>
        <w:spacing w:before="0" w:after="0"/>
        <w:rPr>
          <w:rFonts w:eastAsia="Calibri" w:cs="Times New Roman"/>
          <w:b/>
          <w:sz w:val="22"/>
          <w:szCs w:val="22"/>
        </w:rPr>
      </w:pPr>
      <w:r w:rsidRPr="00936BEF">
        <w:rPr>
          <w:rFonts w:eastAsia="Calibri" w:cs="Times New Roman"/>
          <w:b/>
          <w:sz w:val="22"/>
          <w:szCs w:val="22"/>
        </w:rPr>
        <w:lastRenderedPageBreak/>
        <w:t>1.</w:t>
      </w:r>
      <w:r w:rsidRPr="00936BEF">
        <w:rPr>
          <w:rFonts w:eastAsia="Calibri" w:cs="Times New Roman"/>
          <w:b/>
          <w:sz w:val="22"/>
          <w:szCs w:val="22"/>
        </w:rPr>
        <w:tab/>
        <w:t>Autorización e Historia</w:t>
      </w:r>
    </w:p>
    <w:p w14:paraId="1F07DC4E" w14:textId="194BC571" w:rsidR="00367FCA" w:rsidRPr="00936BEF" w:rsidRDefault="00367FCA" w:rsidP="00367FCA">
      <w:pPr>
        <w:spacing w:before="0" w:after="0"/>
        <w:rPr>
          <w:rFonts w:eastAsia="Calibri" w:cs="Times New Roman"/>
          <w:b/>
          <w:sz w:val="22"/>
          <w:szCs w:val="22"/>
        </w:rPr>
      </w:pPr>
      <w:r w:rsidRPr="00936BEF">
        <w:rPr>
          <w:rFonts w:eastAsia="Calibri" w:cs="Times New Roman"/>
          <w:b/>
          <w:sz w:val="22"/>
          <w:szCs w:val="22"/>
        </w:rPr>
        <w:t>a) Fecha de creación:</w:t>
      </w:r>
    </w:p>
    <w:p w14:paraId="0B9B5702" w14:textId="204EE274" w:rsidR="00367FCA" w:rsidRPr="00936BEF" w:rsidRDefault="00367FCA" w:rsidP="00367FCA">
      <w:pPr>
        <w:rPr>
          <w:sz w:val="22"/>
          <w:szCs w:val="22"/>
        </w:rPr>
      </w:pPr>
      <w:r w:rsidRPr="00936BEF">
        <w:rPr>
          <w:sz w:val="22"/>
          <w:szCs w:val="22"/>
        </w:rPr>
        <w:t xml:space="preserve">Se creó el Estado Libre y Soberano de Michoacán, al expedirse el Acta Constitutiva de la Federación Mexicana, el 31 de enero de 1824, por decreto de la Cámara Constituyente de la Nación. El 6 de abril del mismo año, se instaló el Congreso Local Constituyente El </w:t>
      </w:r>
      <w:r w:rsidR="00FD704C" w:rsidRPr="00936BEF">
        <w:rPr>
          <w:sz w:val="22"/>
          <w:szCs w:val="22"/>
        </w:rPr>
        <w:t>E</w:t>
      </w:r>
      <w:r w:rsidRPr="00936BEF">
        <w:rPr>
          <w:sz w:val="22"/>
          <w:szCs w:val="22"/>
        </w:rPr>
        <w:t xml:space="preserve">stado fue dividido en 4 departamentos y 22 partidos, por decreto de la Ley Territorial de 1825, y el 19 de julio, se contó con su primera Constitución </w:t>
      </w:r>
      <w:r w:rsidR="00FD704C" w:rsidRPr="00936BEF">
        <w:rPr>
          <w:sz w:val="22"/>
          <w:szCs w:val="22"/>
        </w:rPr>
        <w:t>P</w:t>
      </w:r>
      <w:r w:rsidRPr="00936BEF">
        <w:rPr>
          <w:sz w:val="22"/>
          <w:szCs w:val="22"/>
        </w:rPr>
        <w:t>olítica.</w:t>
      </w:r>
    </w:p>
    <w:p w14:paraId="0859D9E3" w14:textId="77777777" w:rsidR="003A401A" w:rsidRPr="00936BEF" w:rsidRDefault="003A401A" w:rsidP="00367FCA">
      <w:pPr>
        <w:spacing w:before="0" w:after="0"/>
        <w:rPr>
          <w:sz w:val="22"/>
          <w:szCs w:val="22"/>
        </w:rPr>
      </w:pPr>
    </w:p>
    <w:p w14:paraId="2B9E5E21" w14:textId="77777777" w:rsidR="00367FCA" w:rsidRPr="00936BEF" w:rsidRDefault="00367FCA" w:rsidP="00367FCA">
      <w:pPr>
        <w:spacing w:before="0" w:after="0"/>
        <w:rPr>
          <w:sz w:val="22"/>
          <w:szCs w:val="22"/>
        </w:rPr>
      </w:pPr>
    </w:p>
    <w:p w14:paraId="758DEAEE" w14:textId="69199006" w:rsidR="00367FCA" w:rsidRPr="00936BEF" w:rsidRDefault="00367FCA" w:rsidP="00367FCA">
      <w:pPr>
        <w:spacing w:before="0" w:after="0"/>
        <w:rPr>
          <w:sz w:val="22"/>
          <w:szCs w:val="22"/>
        </w:rPr>
      </w:pPr>
      <w:r w:rsidRPr="00936BEF">
        <w:rPr>
          <w:sz w:val="22"/>
          <w:szCs w:val="22"/>
        </w:rPr>
        <w:t xml:space="preserve">Actualmente, el </w:t>
      </w:r>
      <w:r w:rsidR="00FD704C" w:rsidRPr="00936BEF">
        <w:rPr>
          <w:sz w:val="22"/>
          <w:szCs w:val="22"/>
        </w:rPr>
        <w:t>E</w:t>
      </w:r>
      <w:r w:rsidRPr="00936BEF">
        <w:rPr>
          <w:sz w:val="22"/>
          <w:szCs w:val="22"/>
        </w:rPr>
        <w:t xml:space="preserve">stado comprende 113 </w:t>
      </w:r>
      <w:r w:rsidR="00FD704C" w:rsidRPr="00936BEF">
        <w:rPr>
          <w:sz w:val="22"/>
          <w:szCs w:val="22"/>
        </w:rPr>
        <w:t>M</w:t>
      </w:r>
      <w:r w:rsidRPr="00936BEF">
        <w:rPr>
          <w:sz w:val="22"/>
          <w:szCs w:val="22"/>
        </w:rPr>
        <w:t>unicipios, con autonomía en cuanto a su gobierno interno.</w:t>
      </w:r>
    </w:p>
    <w:p w14:paraId="3A06898F" w14:textId="77777777" w:rsidR="009F25E0" w:rsidRPr="00936BEF" w:rsidRDefault="009F25E0" w:rsidP="00367FCA">
      <w:pPr>
        <w:spacing w:before="0" w:after="0"/>
        <w:rPr>
          <w:sz w:val="22"/>
          <w:szCs w:val="22"/>
        </w:rPr>
      </w:pPr>
    </w:p>
    <w:p w14:paraId="352D4364" w14:textId="77777777" w:rsidR="009F25E0" w:rsidRPr="00936BEF" w:rsidRDefault="009F25E0" w:rsidP="009F25E0">
      <w:pPr>
        <w:spacing w:before="0" w:after="0"/>
        <w:rPr>
          <w:sz w:val="22"/>
          <w:szCs w:val="22"/>
        </w:rPr>
      </w:pPr>
      <w:r w:rsidRPr="00936BEF">
        <w:rPr>
          <w:sz w:val="22"/>
          <w:szCs w:val="22"/>
        </w:rPr>
        <w:t>El día 08 de octubre de 2021 se publica en el Periódico Oficial del Estado la Ley Orgánica de la Administración Pública del Estado de Michoacán de Ocampo.</w:t>
      </w:r>
    </w:p>
    <w:p w14:paraId="607AAF95" w14:textId="77777777" w:rsidR="00367FCA" w:rsidRPr="00936BEF" w:rsidRDefault="00367FCA" w:rsidP="00367FCA">
      <w:pPr>
        <w:spacing w:before="0" w:after="0"/>
        <w:rPr>
          <w:sz w:val="22"/>
          <w:szCs w:val="22"/>
        </w:rPr>
      </w:pPr>
    </w:p>
    <w:p w14:paraId="5DAEE289" w14:textId="77777777" w:rsidR="00367FCA" w:rsidRPr="00936BEF" w:rsidRDefault="00367FCA" w:rsidP="00367FCA">
      <w:pPr>
        <w:spacing w:before="0" w:after="0"/>
        <w:rPr>
          <w:sz w:val="22"/>
          <w:szCs w:val="22"/>
        </w:rPr>
      </w:pPr>
      <w:r w:rsidRPr="00936BEF">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193581D5" w14:textId="77777777" w:rsidR="00367FCA" w:rsidRPr="00936BEF" w:rsidRDefault="00367FCA" w:rsidP="00367FCA">
      <w:pPr>
        <w:spacing w:before="0" w:after="0"/>
        <w:rPr>
          <w:sz w:val="22"/>
          <w:szCs w:val="22"/>
        </w:rPr>
      </w:pPr>
    </w:p>
    <w:p w14:paraId="601C867A" w14:textId="77777777" w:rsidR="00367FCA" w:rsidRPr="00936BEF" w:rsidRDefault="00367FCA" w:rsidP="00367FCA">
      <w:pPr>
        <w:spacing w:before="0" w:after="0"/>
        <w:rPr>
          <w:rFonts w:eastAsia="Calibri" w:cs="Times New Roman"/>
          <w:b/>
          <w:sz w:val="22"/>
          <w:szCs w:val="22"/>
        </w:rPr>
      </w:pPr>
      <w:r w:rsidRPr="00936BEF">
        <w:rPr>
          <w:rFonts w:eastAsia="Calibri" w:cs="Times New Roman"/>
          <w:b/>
          <w:sz w:val="22"/>
          <w:szCs w:val="22"/>
        </w:rPr>
        <w:t>b) Principales cambios en su estructura:</w:t>
      </w:r>
    </w:p>
    <w:p w14:paraId="2C53A2C1" w14:textId="77777777" w:rsidR="00367FCA" w:rsidRPr="00936BEF" w:rsidRDefault="00367FCA" w:rsidP="00367FCA">
      <w:pPr>
        <w:spacing w:before="0" w:after="0"/>
        <w:rPr>
          <w:rFonts w:eastAsia="Calibri" w:cs="Times New Roman"/>
          <w:sz w:val="22"/>
          <w:szCs w:val="22"/>
        </w:rPr>
      </w:pPr>
    </w:p>
    <w:p w14:paraId="1F979B4F" w14:textId="235CC5CC" w:rsidR="00367FCA" w:rsidRPr="00936BEF" w:rsidRDefault="00367FCA" w:rsidP="00367FCA">
      <w:pPr>
        <w:spacing w:before="0" w:after="0"/>
        <w:rPr>
          <w:rFonts w:eastAsia="Calibri" w:cs="Times New Roman"/>
          <w:sz w:val="22"/>
          <w:szCs w:val="22"/>
        </w:rPr>
      </w:pPr>
      <w:r w:rsidRPr="00936BEF">
        <w:rPr>
          <w:rFonts w:eastAsia="Calibri" w:cs="Times New Roman"/>
          <w:sz w:val="22"/>
          <w:szCs w:val="22"/>
        </w:rPr>
        <w:t xml:space="preserve">Con fecha </w:t>
      </w:r>
      <w:r w:rsidR="001479C0" w:rsidRPr="00936BEF">
        <w:rPr>
          <w:rFonts w:eastAsia="Calibri" w:cs="Times New Roman"/>
          <w:sz w:val="22"/>
          <w:szCs w:val="22"/>
        </w:rPr>
        <w:t>25</w:t>
      </w:r>
      <w:r w:rsidR="00DD5D23" w:rsidRPr="00936BEF">
        <w:rPr>
          <w:rFonts w:eastAsia="Calibri" w:cs="Times New Roman"/>
          <w:sz w:val="22"/>
          <w:szCs w:val="22"/>
        </w:rPr>
        <w:t xml:space="preserve"> de </w:t>
      </w:r>
      <w:r w:rsidR="001479C0" w:rsidRPr="00936BEF">
        <w:rPr>
          <w:rFonts w:eastAsia="Calibri" w:cs="Times New Roman"/>
          <w:sz w:val="22"/>
          <w:szCs w:val="22"/>
        </w:rPr>
        <w:t>septiembre</w:t>
      </w:r>
      <w:r w:rsidR="00DD5D23" w:rsidRPr="00936BEF">
        <w:rPr>
          <w:rFonts w:eastAsia="Calibri" w:cs="Times New Roman"/>
          <w:sz w:val="22"/>
          <w:szCs w:val="22"/>
        </w:rPr>
        <w:t xml:space="preserve"> de 202</w:t>
      </w:r>
      <w:r w:rsidR="001479C0" w:rsidRPr="00936BEF">
        <w:rPr>
          <w:rFonts w:eastAsia="Calibri" w:cs="Times New Roman"/>
          <w:sz w:val="22"/>
          <w:szCs w:val="22"/>
        </w:rPr>
        <w:t>3</w:t>
      </w:r>
      <w:r w:rsidRPr="00936BEF">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Pr="00936BEF" w:rsidRDefault="00367FCA" w:rsidP="00367FCA">
      <w:pPr>
        <w:spacing w:before="0" w:after="0"/>
        <w:rPr>
          <w:rFonts w:eastAsia="Calibri" w:cs="Times New Roman"/>
          <w:sz w:val="22"/>
          <w:szCs w:val="22"/>
        </w:rPr>
      </w:pPr>
    </w:p>
    <w:p w14:paraId="7AF6A23A" w14:textId="3904DC84" w:rsidR="00367FCA" w:rsidRPr="00936BEF" w:rsidRDefault="00367FCA" w:rsidP="00367FCA">
      <w:pPr>
        <w:spacing w:before="0" w:after="0"/>
        <w:rPr>
          <w:rFonts w:eastAsia="Calibri" w:cs="Times New Roman"/>
          <w:sz w:val="22"/>
          <w:szCs w:val="22"/>
        </w:rPr>
      </w:pPr>
      <w:r w:rsidRPr="00936BEF">
        <w:rPr>
          <w:rFonts w:eastAsia="Calibri" w:cs="Times New Roman"/>
          <w:sz w:val="22"/>
          <w:szCs w:val="22"/>
        </w:rPr>
        <w:t xml:space="preserve">El 15 de febrero de 2022, se publicó el Reglamento Interior de la Secretaría de Finanzas y Administración, en </w:t>
      </w:r>
      <w:r w:rsidR="00DF6204" w:rsidRPr="00936BEF">
        <w:rPr>
          <w:rFonts w:eastAsia="Calibri" w:cs="Times New Roman"/>
          <w:sz w:val="22"/>
          <w:szCs w:val="22"/>
        </w:rPr>
        <w:t xml:space="preserve">el </w:t>
      </w:r>
      <w:r w:rsidRPr="00936BEF">
        <w:rPr>
          <w:rFonts w:eastAsia="Calibri" w:cs="Times New Roman"/>
          <w:sz w:val="22"/>
          <w:szCs w:val="22"/>
        </w:rPr>
        <w:t xml:space="preserve">cual se otorgan y especifican las facultades para la aprobación de los estados financieros y la integración de los informes de avance trimestral y cuenta pública anual de cada ejercicio </w:t>
      </w:r>
      <w:r w:rsidRPr="00936BEF">
        <w:rPr>
          <w:rFonts w:eastAsia="Calibri" w:cs="Times New Roman"/>
          <w:sz w:val="22"/>
          <w:szCs w:val="22"/>
        </w:rPr>
        <w:lastRenderedPageBreak/>
        <w:t>fiscal.</w:t>
      </w:r>
      <w:r w:rsidR="006A12D0" w:rsidRPr="00936BEF">
        <w:rPr>
          <w:rFonts w:eastAsia="Calibri" w:cs="Times New Roman"/>
          <w:sz w:val="22"/>
          <w:szCs w:val="22"/>
        </w:rPr>
        <w:t xml:space="preserve"> El 12 de diciembre de 2022, se realizaron modificaciones a dicho reglamento, con cambios sustanciales en materia de recaudación</w:t>
      </w:r>
      <w:r w:rsidR="00843B8D" w:rsidRPr="00936BEF">
        <w:rPr>
          <w:rFonts w:eastAsia="Calibri" w:cs="Times New Roman"/>
          <w:sz w:val="22"/>
          <w:szCs w:val="22"/>
        </w:rPr>
        <w:t>, así como la emisión, en la misma fecha, del Manual de Organización de la S</w:t>
      </w:r>
      <w:r w:rsidR="00EC54D6" w:rsidRPr="00936BEF">
        <w:rPr>
          <w:rFonts w:eastAsia="Calibri" w:cs="Times New Roman"/>
          <w:sz w:val="22"/>
          <w:szCs w:val="22"/>
        </w:rPr>
        <w:t xml:space="preserve">ecretaría de </w:t>
      </w:r>
      <w:r w:rsidR="00843B8D" w:rsidRPr="00936BEF">
        <w:rPr>
          <w:rFonts w:eastAsia="Calibri" w:cs="Times New Roman"/>
          <w:sz w:val="22"/>
          <w:szCs w:val="22"/>
        </w:rPr>
        <w:t>F</w:t>
      </w:r>
      <w:r w:rsidR="00EC54D6" w:rsidRPr="00936BEF">
        <w:rPr>
          <w:rFonts w:eastAsia="Calibri" w:cs="Times New Roman"/>
          <w:sz w:val="22"/>
          <w:szCs w:val="22"/>
        </w:rPr>
        <w:t xml:space="preserve">inanzas y </w:t>
      </w:r>
      <w:r w:rsidR="00843B8D" w:rsidRPr="00936BEF">
        <w:rPr>
          <w:rFonts w:eastAsia="Calibri" w:cs="Times New Roman"/>
          <w:sz w:val="22"/>
          <w:szCs w:val="22"/>
        </w:rPr>
        <w:t>A</w:t>
      </w:r>
      <w:r w:rsidR="00EC54D6" w:rsidRPr="00936BEF">
        <w:rPr>
          <w:rFonts w:eastAsia="Calibri" w:cs="Times New Roman"/>
          <w:sz w:val="22"/>
          <w:szCs w:val="22"/>
        </w:rPr>
        <w:t>dministración</w:t>
      </w:r>
      <w:r w:rsidR="006A12D0" w:rsidRPr="00936BEF">
        <w:rPr>
          <w:rFonts w:eastAsia="Calibri" w:cs="Times New Roman"/>
          <w:sz w:val="22"/>
          <w:szCs w:val="22"/>
        </w:rPr>
        <w:t>.</w:t>
      </w:r>
      <w:r w:rsidR="00D95B0E" w:rsidRPr="00936BEF">
        <w:rPr>
          <w:rFonts w:eastAsia="Calibri" w:cs="Times New Roman"/>
          <w:sz w:val="22"/>
          <w:szCs w:val="22"/>
        </w:rPr>
        <w:t xml:space="preserve"> La última reforma fue el 29 de diciembre de 2023 donde se realizaron cambios en la organización de la Secretaría de Finanzas y Administración </w:t>
      </w:r>
      <w:r w:rsidR="00492C46" w:rsidRPr="00936BEF">
        <w:rPr>
          <w:rFonts w:eastAsia="Calibri" w:cs="Times New Roman"/>
          <w:sz w:val="22"/>
          <w:szCs w:val="22"/>
        </w:rPr>
        <w:t xml:space="preserve">en el Artículo 15 fracción I Subsecretaría de </w:t>
      </w:r>
      <w:r w:rsidR="0033603F" w:rsidRPr="00936BEF">
        <w:rPr>
          <w:rFonts w:eastAsia="Calibri" w:cs="Times New Roman"/>
          <w:sz w:val="22"/>
          <w:szCs w:val="22"/>
        </w:rPr>
        <w:t xml:space="preserve">Ingresos </w:t>
      </w:r>
      <w:r w:rsidR="00492C46" w:rsidRPr="00936BEF">
        <w:rPr>
          <w:rFonts w:eastAsia="Calibri" w:cs="Times New Roman"/>
          <w:sz w:val="22"/>
          <w:szCs w:val="22"/>
        </w:rPr>
        <w:t>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0FB79E11" w14:textId="77777777" w:rsidR="00265899" w:rsidRPr="00936BEF" w:rsidRDefault="00265899" w:rsidP="00367FCA">
      <w:pPr>
        <w:spacing w:before="0" w:after="0"/>
        <w:rPr>
          <w:sz w:val="22"/>
          <w:szCs w:val="22"/>
        </w:rPr>
      </w:pPr>
    </w:p>
    <w:p w14:paraId="683B7F11" w14:textId="0A33C04D" w:rsidR="00492C46" w:rsidRPr="00936BEF" w:rsidRDefault="00492C46" w:rsidP="00367FCA">
      <w:pPr>
        <w:spacing w:before="0" w:after="0"/>
        <w:rPr>
          <w:rFonts w:eastAsia="Calibri" w:cs="Times New Roman"/>
          <w:sz w:val="22"/>
          <w:szCs w:val="22"/>
        </w:rPr>
      </w:pPr>
      <w:r w:rsidRPr="00936BEF">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691F59C7" w14:textId="72C42399" w:rsidR="00843B8D" w:rsidRPr="00936BEF" w:rsidRDefault="00843B8D" w:rsidP="00367FCA">
      <w:pPr>
        <w:spacing w:before="0" w:after="0"/>
        <w:rPr>
          <w:rFonts w:eastAsia="Calibri" w:cs="Times New Roman"/>
          <w:sz w:val="22"/>
          <w:szCs w:val="22"/>
        </w:rPr>
      </w:pPr>
    </w:p>
    <w:p w14:paraId="1C26B973" w14:textId="4EAF49F2" w:rsidR="00367FCA" w:rsidRPr="00936BEF" w:rsidRDefault="00087647" w:rsidP="00BD4F6A">
      <w:pPr>
        <w:spacing w:before="0" w:after="0"/>
        <w:rPr>
          <w:rFonts w:eastAsia="Calibri" w:cs="Times New Roman"/>
          <w:sz w:val="22"/>
          <w:szCs w:val="22"/>
        </w:rPr>
      </w:pPr>
      <w:r w:rsidRPr="00936BEF">
        <w:rPr>
          <w:rFonts w:eastAsia="Calibri" w:cs="Times New Roman"/>
          <w:sz w:val="22"/>
          <w:szCs w:val="22"/>
        </w:rPr>
        <w:t xml:space="preserve">El 3 de </w:t>
      </w:r>
      <w:r w:rsidR="00D00A2E" w:rsidRPr="00936BEF">
        <w:rPr>
          <w:rFonts w:eastAsia="Calibri" w:cs="Times New Roman"/>
          <w:sz w:val="22"/>
          <w:szCs w:val="22"/>
        </w:rPr>
        <w:t>noviembre</w:t>
      </w:r>
      <w:r w:rsidRPr="00936BEF">
        <w:rPr>
          <w:rFonts w:eastAsia="Calibri" w:cs="Times New Roman"/>
          <w:sz w:val="22"/>
          <w:szCs w:val="22"/>
        </w:rPr>
        <w:t xml:space="preserve"> de 2023 se publicó el </w:t>
      </w:r>
      <w:bookmarkStart w:id="2" w:name="_Hlk166238001"/>
      <w:r w:rsidRPr="00936BEF">
        <w:rPr>
          <w:rFonts w:eastAsia="Calibri" w:cs="Times New Roman"/>
          <w:sz w:val="22"/>
          <w:szCs w:val="22"/>
        </w:rPr>
        <w:t>Manual de Normas y Lineamientos para el Ejercicio y Control del Presupuesto de Egresos del Estado de Michoacán de Ocampo</w:t>
      </w:r>
      <w:bookmarkEnd w:id="2"/>
      <w:r w:rsidRPr="00936BEF">
        <w:rPr>
          <w:rFonts w:eastAsia="Calibri" w:cs="Times New Roman"/>
          <w:sz w:val="22"/>
          <w:szCs w:val="22"/>
        </w:rPr>
        <w:t>, que incluye en sus lineamientos al Documento de Ejecución Presupuestaria y Pago Digital.</w:t>
      </w:r>
    </w:p>
    <w:p w14:paraId="6F84B4AE" w14:textId="77777777" w:rsidR="00212B26" w:rsidRPr="00936BEF" w:rsidRDefault="00212B26" w:rsidP="00BD4F6A">
      <w:pPr>
        <w:spacing w:before="0" w:after="0"/>
        <w:rPr>
          <w:rFonts w:eastAsia="Calibri" w:cs="Times New Roman"/>
          <w:sz w:val="22"/>
          <w:szCs w:val="22"/>
        </w:rPr>
      </w:pPr>
    </w:p>
    <w:p w14:paraId="04CF2209" w14:textId="77777777" w:rsidR="00BD4F6A" w:rsidRPr="00936BEF" w:rsidRDefault="00BD4F6A" w:rsidP="00BD4F6A">
      <w:pPr>
        <w:spacing w:before="0" w:after="0"/>
        <w:rPr>
          <w:rFonts w:eastAsia="Calibri" w:cs="Times New Roman"/>
          <w:sz w:val="22"/>
          <w:szCs w:val="22"/>
        </w:rPr>
      </w:pPr>
    </w:p>
    <w:p w14:paraId="1959791B" w14:textId="77777777" w:rsidR="00BD4F6A" w:rsidRPr="00936BEF" w:rsidRDefault="00BD4F6A" w:rsidP="00BD4F6A">
      <w:pPr>
        <w:spacing w:before="0" w:after="0"/>
        <w:rPr>
          <w:rFonts w:eastAsia="Calibri" w:cs="Times New Roman"/>
          <w:sz w:val="22"/>
          <w:szCs w:val="22"/>
        </w:rPr>
      </w:pPr>
      <w:r w:rsidRPr="00936BEF">
        <w:rPr>
          <w:rFonts w:eastAsia="Calibri" w:cs="Times New Roman"/>
          <w:sz w:val="22"/>
          <w:szCs w:val="22"/>
        </w:rPr>
        <w:t>2.- Panorama económico y financiero</w:t>
      </w:r>
    </w:p>
    <w:p w14:paraId="6ECD490D" w14:textId="06C0AA61" w:rsidR="007E6B6D" w:rsidRPr="00936BEF" w:rsidRDefault="007E6B6D" w:rsidP="007C0EB4">
      <w:pPr>
        <w:spacing w:before="0" w:after="0"/>
        <w:rPr>
          <w:rFonts w:eastAsia="Calibri" w:cs="Times New Roman"/>
          <w:sz w:val="22"/>
          <w:szCs w:val="22"/>
        </w:rPr>
      </w:pPr>
    </w:p>
    <w:p w14:paraId="033B3805" w14:textId="41BAD2CE" w:rsidR="00FF6B01" w:rsidRPr="00936BEF" w:rsidRDefault="001E1AEB" w:rsidP="007C0EB4">
      <w:pPr>
        <w:spacing w:before="0" w:after="0"/>
        <w:rPr>
          <w:sz w:val="22"/>
          <w:szCs w:val="22"/>
        </w:rPr>
      </w:pPr>
      <w:r w:rsidRPr="00936BEF">
        <w:rPr>
          <w:rFonts w:eastAsia="Calibri" w:cs="Times New Roman"/>
          <w:sz w:val="22"/>
          <w:szCs w:val="22"/>
        </w:rPr>
        <w:t>Conforme a</w:t>
      </w:r>
      <w:r w:rsidR="009F25E0" w:rsidRPr="00936BEF">
        <w:rPr>
          <w:rFonts w:eastAsia="Calibri" w:cs="Times New Roman"/>
          <w:sz w:val="22"/>
          <w:szCs w:val="22"/>
        </w:rPr>
        <w:t xml:space="preserve"> </w:t>
      </w:r>
      <w:r w:rsidRPr="00936BEF">
        <w:rPr>
          <w:rFonts w:eastAsia="Calibri" w:cs="Times New Roman"/>
          <w:sz w:val="22"/>
          <w:szCs w:val="22"/>
        </w:rPr>
        <w:t>l</w:t>
      </w:r>
      <w:r w:rsidR="009F25E0" w:rsidRPr="00936BEF">
        <w:rPr>
          <w:rFonts w:eastAsia="Calibri" w:cs="Times New Roman"/>
          <w:sz w:val="22"/>
          <w:szCs w:val="22"/>
        </w:rPr>
        <w:t>a</w:t>
      </w:r>
      <w:r w:rsidRPr="00936BEF">
        <w:rPr>
          <w:rFonts w:eastAsia="Calibri" w:cs="Times New Roman"/>
          <w:sz w:val="22"/>
          <w:szCs w:val="22"/>
        </w:rPr>
        <w:t xml:space="preserve"> </w:t>
      </w:r>
      <w:r w:rsidR="009F25E0" w:rsidRPr="00936BEF">
        <w:rPr>
          <w:rFonts w:eastAsia="Calibri" w:cs="Times New Roman"/>
          <w:sz w:val="22"/>
          <w:szCs w:val="22"/>
        </w:rPr>
        <w:t xml:space="preserve">última publicación </w:t>
      </w:r>
      <w:r w:rsidR="00812425" w:rsidRPr="00936BEF">
        <w:rPr>
          <w:rFonts w:eastAsia="Calibri" w:cs="Times New Roman"/>
          <w:sz w:val="22"/>
          <w:szCs w:val="22"/>
        </w:rPr>
        <w:t xml:space="preserve">a la fecha del presente informe, se toma como referencia el </w:t>
      </w:r>
      <w:r w:rsidRPr="00936BEF">
        <w:rPr>
          <w:rFonts w:eastAsia="Calibri" w:cs="Times New Roman"/>
          <w:sz w:val="22"/>
          <w:szCs w:val="22"/>
        </w:rPr>
        <w:t>informe financiero del primer trimestre de 2024, presentado por el Banco de México (BANXICO</w:t>
      </w:r>
      <w:r w:rsidR="004962F1" w:rsidRPr="00936BEF">
        <w:rPr>
          <w:rFonts w:eastAsia="Calibri" w:cs="Times New Roman"/>
          <w:sz w:val="22"/>
          <w:szCs w:val="22"/>
        </w:rPr>
        <w:t xml:space="preserve">) </w:t>
      </w:r>
      <w:r w:rsidR="009F25E0" w:rsidRPr="00936BEF">
        <w:rPr>
          <w:rFonts w:eastAsia="Calibri" w:cs="Times New Roman"/>
          <w:sz w:val="22"/>
          <w:szCs w:val="22"/>
        </w:rPr>
        <w:t>el 24 de mayo de 2024</w:t>
      </w:r>
      <w:r w:rsidRPr="00936BEF">
        <w:rPr>
          <w:rFonts w:eastAsia="Calibri" w:cs="Times New Roman"/>
          <w:sz w:val="22"/>
          <w:szCs w:val="22"/>
        </w:rPr>
        <w:t>,</w:t>
      </w:r>
      <w:r w:rsidR="006F0A3F" w:rsidRPr="00936BEF">
        <w:rPr>
          <w:rFonts w:eastAsia="Calibri" w:cs="Times New Roman"/>
          <w:sz w:val="22"/>
          <w:szCs w:val="22"/>
        </w:rPr>
        <w:t xml:space="preserve"> </w:t>
      </w:r>
      <w:r w:rsidR="00812425" w:rsidRPr="00936BEF">
        <w:rPr>
          <w:rFonts w:eastAsia="Calibri" w:cs="Times New Roman"/>
          <w:sz w:val="22"/>
          <w:szCs w:val="22"/>
        </w:rPr>
        <w:t xml:space="preserve">el cual presenta </w:t>
      </w:r>
      <w:r w:rsidRPr="00936BEF">
        <w:rPr>
          <w:sz w:val="22"/>
          <w:szCs w:val="22"/>
        </w:rPr>
        <w:t>las inflaciones general y subyacente en México permanecieron en niveles visiblemente por debajo de los máximos observados durante el actual episodio inflacionario ocasionado por la pandemia y la guerra en Ucrania. Entre el último trimestre del año pasado y el primero del actual, la inflación general anual mostró cierto aumento ante el incremento del componente no subyacente, toda vez que la inflación subyacente continuó con la trayectoria a la baja. Lo anterior en un contexto en el cual la de</w:t>
      </w:r>
      <w:r w:rsidR="00A016EE" w:rsidRPr="00936BEF">
        <w:rPr>
          <w:sz w:val="22"/>
          <w:szCs w:val="22"/>
        </w:rPr>
        <w:t>flación</w:t>
      </w:r>
      <w:r w:rsidRPr="00936BEF">
        <w:rPr>
          <w:sz w:val="22"/>
          <w:szCs w:val="22"/>
        </w:rPr>
        <w:t xml:space="preserve"> siguió avanzando a nivel global, los mercados financieros nacionales presentaron un funcionamiento </w:t>
      </w:r>
      <w:r w:rsidRPr="00936BEF">
        <w:rPr>
          <w:sz w:val="22"/>
          <w:szCs w:val="22"/>
        </w:rPr>
        <w:lastRenderedPageBreak/>
        <w:t xml:space="preserve">ordenado y la actividad económica nacional moderó su ritmo de expansión después de haber exhibido un comportamiento </w:t>
      </w:r>
      <w:proofErr w:type="spellStart"/>
      <w:r w:rsidRPr="00936BEF">
        <w:rPr>
          <w:sz w:val="22"/>
          <w:szCs w:val="22"/>
        </w:rPr>
        <w:t>resiliente</w:t>
      </w:r>
      <w:proofErr w:type="spellEnd"/>
      <w:r w:rsidRPr="00936BEF">
        <w:rPr>
          <w:sz w:val="22"/>
          <w:szCs w:val="22"/>
        </w:rPr>
        <w:t xml:space="preserve"> durante la mayor parte del año pasado. En el periodo que abarca este Informe, el Banco de México, luego de haber mantenido la tasa de referencia sin cambio desde marzo de 2023, la redujo en 25 puntos base para llevarla a un nivel de 11.00%. A pesar de la desinflación en México, la inflación general anual persiste por arriba de la meta de 3%. El componente subyacente ha mantenido variaciones anuales </w:t>
      </w:r>
      <w:r w:rsidR="00812425" w:rsidRPr="00936BEF">
        <w:rPr>
          <w:sz w:val="22"/>
          <w:szCs w:val="22"/>
        </w:rPr>
        <w:t>aun</w:t>
      </w:r>
      <w:r w:rsidRPr="00936BEF">
        <w:rPr>
          <w:sz w:val="22"/>
          <w:szCs w:val="22"/>
        </w:rPr>
        <w:t xml:space="preserve"> relativamente elevadas y las reducciones que estas han mostrado exhibieron recientemente una moderación respecto de lo observado en 2023. Asimismo, el balance de riesgos para la trayectoria prevista de la inflación persiste sesgado al alza. </w:t>
      </w:r>
    </w:p>
    <w:p w14:paraId="7E6BC915" w14:textId="7B8C83D6" w:rsidR="0024044A" w:rsidRPr="00936BEF" w:rsidRDefault="004F214D" w:rsidP="007C0EB4">
      <w:pPr>
        <w:spacing w:before="0" w:after="0"/>
        <w:rPr>
          <w:sz w:val="22"/>
          <w:szCs w:val="22"/>
        </w:rPr>
      </w:pPr>
      <w:r w:rsidRPr="00936BEF">
        <w:rPr>
          <w:sz w:val="22"/>
          <w:szCs w:val="22"/>
        </w:rPr>
        <w:t>L</w:t>
      </w:r>
      <w:r w:rsidR="0024044A" w:rsidRPr="00936BEF">
        <w:rPr>
          <w:sz w:val="22"/>
          <w:szCs w:val="22"/>
        </w:rPr>
        <w:t>a inflación general anual aumentó de 4.41 a 4.57% entre el cuarto trimestre de 2023 y el primer trimestre de 2024 y se situó en 4.78% en la primera quincena de mayo. La inflación subyacente, la cual refleja de mejor forma la tendencia de mediano plazo de la inflación, siguió disminuyendo en los trimestres referidos. Ello, junto con los niveles significativamente más bajos que presentó respecto de los registrados en 2022 y principios de 2023 da cuenta del avance en el proceso deflacionario. La inflación subyacente disminuyó de 5.30 a 4.65% entre dichos trimestres y se ubicó en 4.31% en la primera quincena de mayo. En su interior continuó observándose un comportamiento diferenciado entre la inflación de las mercancías y la de los servicios. La primera siguió presentando una clara tendencia descendente. En contraste, la inflación anual de los servicios se mantuvo en niveles elevados y siguió sin presentar un claro punto de inflexión a la baja. En el caso de la inflación no subyacente, esta se elevó de 1.79% en el cuarto trimestre de 2023 a 4.31% en el primer trimestre de 2024 y registró 6.27% en la primera quincena de mayo.</w:t>
      </w:r>
    </w:p>
    <w:p w14:paraId="080E322E" w14:textId="77777777" w:rsidR="0024044A" w:rsidRPr="00936BEF" w:rsidRDefault="0024044A" w:rsidP="007C0EB4">
      <w:pPr>
        <w:spacing w:before="0" w:after="0"/>
        <w:rPr>
          <w:sz w:val="22"/>
          <w:szCs w:val="22"/>
        </w:rPr>
      </w:pPr>
    </w:p>
    <w:p w14:paraId="23A7B274" w14:textId="6C5BBDDC" w:rsidR="0024044A" w:rsidRPr="00936BEF" w:rsidRDefault="001C77E4" w:rsidP="007C0EB4">
      <w:pPr>
        <w:spacing w:before="0" w:after="0"/>
        <w:rPr>
          <w:sz w:val="22"/>
          <w:szCs w:val="22"/>
        </w:rPr>
      </w:pPr>
      <w:r w:rsidRPr="00936BEF">
        <w:rPr>
          <w:sz w:val="22"/>
          <w:szCs w:val="22"/>
        </w:rPr>
        <w:t xml:space="preserve">Crecimiento de la economía nacional: Ante la prolongación de la debilidad de la actividad económica del último trimestre de 2023 hacia principios de 2024, el crecimiento del PIB en el primer trimestre del año fue menor al previsto. Derivado de lo anterior, la previsión puntual para el PIB de 2024 se revisa de 2.8% en el Informe previo a 2.4% en el actual (Gráfica 1a y Cuadro 1). El intervalo para el crecimiento esperado del PIB para el año se ajusta a uno de entre 1.9 y 2.9%, el cual ahora es más estrecho que el del Informe previo </w:t>
      </w:r>
      <w:r w:rsidRPr="00936BEF">
        <w:rPr>
          <w:sz w:val="22"/>
          <w:szCs w:val="22"/>
        </w:rPr>
        <w:lastRenderedPageBreak/>
        <w:t xml:space="preserve">dada la mayor información disponible. Así, se espera que la actividad productiva retome un ritmo de crecimiento más dinámico en el resto del año, si bien el crecimiento de la segunda mitad del año sería más moderado que el del segundo trimestre, de acuerdo con la evolución observada en años electorales previos. </w:t>
      </w:r>
    </w:p>
    <w:p w14:paraId="1FC34A06" w14:textId="77777777" w:rsidR="001C77E4" w:rsidRPr="005D12C6" w:rsidRDefault="001C77E4" w:rsidP="007C0EB4">
      <w:pPr>
        <w:spacing w:before="0" w:after="0"/>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520"/>
        <w:gridCol w:w="1520"/>
        <w:gridCol w:w="1540"/>
      </w:tblGrid>
      <w:tr w:rsidR="001C77E4" w:rsidRPr="005D12C6" w14:paraId="6ED18457" w14:textId="77777777" w:rsidTr="00866639">
        <w:trPr>
          <w:trHeight w:val="300"/>
          <w:jc w:val="center"/>
        </w:trPr>
        <w:tc>
          <w:tcPr>
            <w:tcW w:w="4580" w:type="dxa"/>
            <w:gridSpan w:val="3"/>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454E7B00" w14:textId="77777777" w:rsidR="001C77E4" w:rsidRPr="005D12C6" w:rsidRDefault="001C77E4" w:rsidP="001C77E4">
            <w:pPr>
              <w:spacing w:before="0" w:after="0" w:line="240" w:lineRule="auto"/>
              <w:jc w:val="center"/>
              <w:rPr>
                <w:rFonts w:ascii="Calibri" w:eastAsia="Times New Roman" w:hAnsi="Calibri" w:cs="Calibri"/>
                <w:b/>
                <w:bCs/>
                <w:color w:val="000000"/>
                <w:sz w:val="22"/>
                <w:szCs w:val="22"/>
                <w:lang w:val="es-MX" w:eastAsia="es-MX"/>
              </w:rPr>
            </w:pPr>
            <w:r w:rsidRPr="005D12C6">
              <w:rPr>
                <w:rFonts w:ascii="Calibri" w:eastAsia="Times New Roman" w:hAnsi="Calibri" w:cs="Calibri"/>
                <w:b/>
                <w:bCs/>
                <w:color w:val="000000"/>
                <w:sz w:val="22"/>
                <w:szCs w:val="22"/>
                <w:lang w:val="es-MX" w:eastAsia="es-MX"/>
              </w:rPr>
              <w:t>Previsiones de crecimiento del PIB</w:t>
            </w:r>
          </w:p>
        </w:tc>
      </w:tr>
      <w:tr w:rsidR="001C77E4" w:rsidRPr="005D12C6" w14:paraId="7D47E764" w14:textId="77777777" w:rsidTr="00866639">
        <w:trPr>
          <w:trHeight w:val="300"/>
          <w:jc w:val="center"/>
        </w:trPr>
        <w:tc>
          <w:tcPr>
            <w:tcW w:w="4580" w:type="dxa"/>
            <w:gridSpan w:val="3"/>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76CEF989"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Por ciento</w:t>
            </w:r>
          </w:p>
        </w:tc>
      </w:tr>
      <w:tr w:rsidR="001C77E4" w:rsidRPr="005D12C6" w14:paraId="4F2274CE" w14:textId="77777777" w:rsidTr="00866639">
        <w:trPr>
          <w:trHeight w:val="300"/>
          <w:jc w:val="center"/>
        </w:trPr>
        <w:tc>
          <w:tcPr>
            <w:tcW w:w="152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4A84D373" w14:textId="77777777" w:rsidR="001C77E4" w:rsidRPr="005D12C6" w:rsidRDefault="001C77E4" w:rsidP="001C77E4">
            <w:pPr>
              <w:spacing w:before="0" w:after="0" w:line="240" w:lineRule="auto"/>
              <w:jc w:val="center"/>
              <w:rPr>
                <w:rFonts w:ascii="Calibri" w:eastAsia="Times New Roman" w:hAnsi="Calibri" w:cs="Calibri"/>
                <w:b/>
                <w:bCs/>
                <w:color w:val="000000"/>
                <w:sz w:val="18"/>
                <w:szCs w:val="18"/>
                <w:lang w:val="es-MX" w:eastAsia="es-MX"/>
              </w:rPr>
            </w:pPr>
            <w:r w:rsidRPr="005D12C6">
              <w:rPr>
                <w:rFonts w:ascii="Calibri" w:eastAsia="Times New Roman" w:hAnsi="Calibri" w:cs="Calibri"/>
                <w:b/>
                <w:bCs/>
                <w:color w:val="000000"/>
                <w:sz w:val="18"/>
                <w:szCs w:val="18"/>
                <w:lang w:val="es-MX" w:eastAsia="es-MX"/>
              </w:rPr>
              <w:t>Año</w:t>
            </w:r>
          </w:p>
        </w:tc>
        <w:tc>
          <w:tcPr>
            <w:tcW w:w="152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64B0C0CF" w14:textId="77777777" w:rsidR="001C77E4" w:rsidRPr="005D12C6" w:rsidRDefault="001C77E4" w:rsidP="001C77E4">
            <w:pPr>
              <w:spacing w:before="0" w:after="0" w:line="240" w:lineRule="auto"/>
              <w:jc w:val="center"/>
              <w:rPr>
                <w:rFonts w:ascii="Calibri" w:eastAsia="Times New Roman" w:hAnsi="Calibri" w:cs="Calibri"/>
                <w:b/>
                <w:bCs/>
                <w:color w:val="000000"/>
                <w:sz w:val="18"/>
                <w:szCs w:val="18"/>
                <w:lang w:val="es-MX" w:eastAsia="es-MX"/>
              </w:rPr>
            </w:pPr>
            <w:r w:rsidRPr="005D12C6">
              <w:rPr>
                <w:rFonts w:ascii="Calibri" w:eastAsia="Times New Roman" w:hAnsi="Calibri" w:cs="Calibri"/>
                <w:b/>
                <w:bCs/>
                <w:color w:val="000000"/>
                <w:sz w:val="18"/>
                <w:szCs w:val="18"/>
                <w:lang w:val="es-MX" w:eastAsia="es-MX"/>
              </w:rPr>
              <w:t>Puntual</w:t>
            </w:r>
          </w:p>
        </w:tc>
        <w:tc>
          <w:tcPr>
            <w:tcW w:w="154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6BE1C3D3" w14:textId="77777777" w:rsidR="001C77E4" w:rsidRPr="005D12C6" w:rsidRDefault="001C77E4" w:rsidP="001C77E4">
            <w:pPr>
              <w:spacing w:before="0" w:after="0" w:line="240" w:lineRule="auto"/>
              <w:jc w:val="center"/>
              <w:rPr>
                <w:rFonts w:ascii="Calibri" w:eastAsia="Times New Roman" w:hAnsi="Calibri" w:cs="Calibri"/>
                <w:b/>
                <w:bCs/>
                <w:color w:val="000000"/>
                <w:sz w:val="18"/>
                <w:szCs w:val="18"/>
                <w:lang w:val="es-MX" w:eastAsia="es-MX"/>
              </w:rPr>
            </w:pPr>
            <w:r w:rsidRPr="005D12C6">
              <w:rPr>
                <w:rFonts w:ascii="Calibri" w:eastAsia="Times New Roman" w:hAnsi="Calibri" w:cs="Calibri"/>
                <w:b/>
                <w:bCs/>
                <w:color w:val="000000"/>
                <w:sz w:val="18"/>
                <w:szCs w:val="18"/>
                <w:lang w:val="es-MX" w:eastAsia="es-MX"/>
              </w:rPr>
              <w:t>Intervalo</w:t>
            </w:r>
          </w:p>
        </w:tc>
      </w:tr>
      <w:tr w:rsidR="001C77E4" w:rsidRPr="005D12C6" w14:paraId="70422C86" w14:textId="77777777" w:rsidTr="00866639">
        <w:trPr>
          <w:trHeight w:val="300"/>
          <w:jc w:val="center"/>
        </w:trPr>
        <w:tc>
          <w:tcPr>
            <w:tcW w:w="152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77E7E61D"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2024</w:t>
            </w:r>
          </w:p>
        </w:tc>
        <w:tc>
          <w:tcPr>
            <w:tcW w:w="152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1673DA3A"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2.4</w:t>
            </w:r>
          </w:p>
        </w:tc>
        <w:tc>
          <w:tcPr>
            <w:tcW w:w="154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7587A7ED"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Entre 1.9 y 2.9</w:t>
            </w:r>
          </w:p>
        </w:tc>
      </w:tr>
      <w:tr w:rsidR="001C77E4" w:rsidRPr="005D12C6" w14:paraId="2F24D135" w14:textId="77777777" w:rsidTr="00866639">
        <w:trPr>
          <w:trHeight w:val="300"/>
          <w:jc w:val="center"/>
        </w:trPr>
        <w:tc>
          <w:tcPr>
            <w:tcW w:w="152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35B31395"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2025</w:t>
            </w:r>
          </w:p>
        </w:tc>
        <w:tc>
          <w:tcPr>
            <w:tcW w:w="152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3202FB32"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1.5</w:t>
            </w:r>
          </w:p>
        </w:tc>
        <w:tc>
          <w:tcPr>
            <w:tcW w:w="1540" w:type="dxa"/>
            <w:tcBorders>
              <w:top w:val="single" w:sz="6" w:space="0" w:color="D3D3D3"/>
              <w:left w:val="single" w:sz="6" w:space="0" w:color="D3D3D3"/>
              <w:bottom w:val="single" w:sz="6" w:space="0" w:color="D3D3D3"/>
              <w:right w:val="single" w:sz="6" w:space="0" w:color="D3D3D3"/>
            </w:tcBorders>
            <w:shd w:val="clear" w:color="auto" w:fill="FFFFFF"/>
            <w:tcMar>
              <w:top w:w="24" w:type="dxa"/>
              <w:left w:w="72" w:type="dxa"/>
              <w:bottom w:w="24" w:type="dxa"/>
              <w:right w:w="72" w:type="dxa"/>
            </w:tcMar>
            <w:vAlign w:val="center"/>
            <w:hideMark/>
          </w:tcPr>
          <w:p w14:paraId="376B6C41" w14:textId="77777777" w:rsidR="001C77E4" w:rsidRPr="005D12C6" w:rsidRDefault="001C77E4" w:rsidP="001C77E4">
            <w:pPr>
              <w:spacing w:before="0" w:after="0" w:line="240" w:lineRule="auto"/>
              <w:jc w:val="center"/>
              <w:rPr>
                <w:rFonts w:ascii="Calibri" w:eastAsia="Times New Roman" w:hAnsi="Calibri" w:cs="Calibri"/>
                <w:color w:val="000000"/>
                <w:sz w:val="18"/>
                <w:szCs w:val="18"/>
                <w:lang w:val="es-MX" w:eastAsia="es-MX"/>
              </w:rPr>
            </w:pPr>
            <w:r w:rsidRPr="005D12C6">
              <w:rPr>
                <w:rFonts w:ascii="Calibri" w:eastAsia="Times New Roman" w:hAnsi="Calibri" w:cs="Calibri"/>
                <w:color w:val="000000"/>
                <w:sz w:val="18"/>
                <w:szCs w:val="18"/>
                <w:lang w:val="es-MX" w:eastAsia="es-MX"/>
              </w:rPr>
              <w:t>Entre 0.7 y 2.3</w:t>
            </w:r>
          </w:p>
        </w:tc>
      </w:tr>
      <w:tr w:rsidR="001C77E4" w:rsidRPr="005D12C6" w14:paraId="110F69F1" w14:textId="77777777" w:rsidTr="00866639">
        <w:trPr>
          <w:jc w:val="center"/>
        </w:trPr>
        <w:tc>
          <w:tcPr>
            <w:tcW w:w="0" w:type="auto"/>
            <w:shd w:val="clear" w:color="auto" w:fill="FFFFFF"/>
            <w:vAlign w:val="center"/>
            <w:hideMark/>
          </w:tcPr>
          <w:p w14:paraId="5CC296C8" w14:textId="77777777" w:rsidR="001C77E4" w:rsidRPr="005D12C6" w:rsidRDefault="001C77E4" w:rsidP="001C77E4">
            <w:pPr>
              <w:spacing w:before="0" w:after="0" w:line="240" w:lineRule="auto"/>
              <w:rPr>
                <w:rFonts w:ascii="Calibri" w:eastAsia="Times New Roman" w:hAnsi="Calibri" w:cs="Calibri"/>
                <w:color w:val="000000"/>
                <w:sz w:val="16"/>
                <w:szCs w:val="16"/>
                <w:lang w:val="es-MX" w:eastAsia="es-MX"/>
              </w:rPr>
            </w:pPr>
          </w:p>
        </w:tc>
        <w:tc>
          <w:tcPr>
            <w:tcW w:w="0" w:type="auto"/>
            <w:shd w:val="clear" w:color="auto" w:fill="FFFFFF"/>
            <w:vAlign w:val="center"/>
            <w:hideMark/>
          </w:tcPr>
          <w:p w14:paraId="301F5F55" w14:textId="77777777" w:rsidR="001C77E4" w:rsidRPr="005D12C6" w:rsidRDefault="001C77E4" w:rsidP="001C77E4">
            <w:pPr>
              <w:spacing w:before="0" w:after="0" w:line="240" w:lineRule="auto"/>
              <w:jc w:val="left"/>
              <w:rPr>
                <w:rFonts w:ascii="Times New Roman" w:eastAsia="Times New Roman" w:hAnsi="Times New Roman" w:cs="Times New Roman"/>
                <w:sz w:val="20"/>
                <w:szCs w:val="20"/>
                <w:lang w:val="es-MX" w:eastAsia="es-MX"/>
              </w:rPr>
            </w:pPr>
          </w:p>
        </w:tc>
        <w:tc>
          <w:tcPr>
            <w:tcW w:w="0" w:type="auto"/>
            <w:shd w:val="clear" w:color="auto" w:fill="FFFFFF"/>
            <w:vAlign w:val="center"/>
            <w:hideMark/>
          </w:tcPr>
          <w:p w14:paraId="3E991034" w14:textId="77777777" w:rsidR="001C77E4" w:rsidRPr="005D12C6" w:rsidRDefault="001C77E4" w:rsidP="001C77E4">
            <w:pPr>
              <w:spacing w:before="0" w:after="0" w:line="240" w:lineRule="auto"/>
              <w:jc w:val="left"/>
              <w:rPr>
                <w:rFonts w:ascii="Times New Roman" w:eastAsia="Times New Roman" w:hAnsi="Times New Roman" w:cs="Times New Roman"/>
                <w:sz w:val="20"/>
                <w:szCs w:val="20"/>
                <w:lang w:val="es-MX" w:eastAsia="es-MX"/>
              </w:rPr>
            </w:pPr>
          </w:p>
        </w:tc>
      </w:tr>
    </w:tbl>
    <w:p w14:paraId="21FB8985" w14:textId="77777777" w:rsidR="001C77E4" w:rsidRPr="005D12C6" w:rsidRDefault="001C77E4" w:rsidP="007C0EB4">
      <w:pPr>
        <w:spacing w:before="0" w:after="0"/>
      </w:pPr>
    </w:p>
    <w:p w14:paraId="5B774178" w14:textId="77777777" w:rsidR="0053107A" w:rsidRPr="005D12C6" w:rsidRDefault="0053107A" w:rsidP="007C0EB4">
      <w:pPr>
        <w:spacing w:before="0" w:after="0"/>
      </w:pPr>
    </w:p>
    <w:p w14:paraId="09176E3E" w14:textId="6844BD8F" w:rsidR="0053107A" w:rsidRPr="005D12C6" w:rsidRDefault="0053107A" w:rsidP="00866639">
      <w:pPr>
        <w:spacing w:before="0" w:after="0"/>
        <w:jc w:val="center"/>
      </w:pPr>
      <w:r w:rsidRPr="005D12C6">
        <w:rPr>
          <w:noProof/>
          <w:lang w:val="es-MX" w:eastAsia="es-MX"/>
        </w:rPr>
        <w:drawing>
          <wp:inline distT="0" distB="0" distL="0" distR="0" wp14:anchorId="3028F356" wp14:editId="2E0C02A9">
            <wp:extent cx="3162741" cy="2219635"/>
            <wp:effectExtent l="0" t="0" r="0" b="9525"/>
            <wp:docPr id="107754562" name="Imagen 10775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2741" cy="2219635"/>
                    </a:xfrm>
                    <a:prstGeom prst="rect">
                      <a:avLst/>
                    </a:prstGeom>
                  </pic:spPr>
                </pic:pic>
              </a:graphicData>
            </a:graphic>
          </wp:inline>
        </w:drawing>
      </w:r>
    </w:p>
    <w:p w14:paraId="696D6D22" w14:textId="77777777" w:rsidR="00866639" w:rsidRPr="005D12C6" w:rsidRDefault="001E1AEB" w:rsidP="007C0EB4">
      <w:pPr>
        <w:spacing w:before="0" w:after="0"/>
      </w:pPr>
      <w:r w:rsidRPr="005D12C6">
        <w:t xml:space="preserve"> </w:t>
      </w:r>
    </w:p>
    <w:p w14:paraId="664D35FA" w14:textId="77777777" w:rsidR="004962F1" w:rsidRPr="005D12C6" w:rsidRDefault="004962F1" w:rsidP="007C0EB4">
      <w:pPr>
        <w:spacing w:before="0" w:after="0"/>
      </w:pPr>
    </w:p>
    <w:p w14:paraId="3B1CB3C1" w14:textId="77777777" w:rsidR="004962F1" w:rsidRPr="005D12C6" w:rsidRDefault="004962F1" w:rsidP="007C0EB4">
      <w:pPr>
        <w:spacing w:before="0" w:after="0"/>
      </w:pPr>
    </w:p>
    <w:p w14:paraId="5728B739" w14:textId="697DB65D" w:rsidR="004962F1" w:rsidRPr="00936BEF" w:rsidRDefault="004962F1" w:rsidP="007C0EB4">
      <w:pPr>
        <w:spacing w:before="0" w:after="0"/>
        <w:rPr>
          <w:sz w:val="22"/>
          <w:szCs w:val="22"/>
        </w:rPr>
      </w:pPr>
      <w:r w:rsidRPr="00936BEF">
        <w:rPr>
          <w:sz w:val="22"/>
          <w:szCs w:val="22"/>
        </w:rPr>
        <w:t>Se espera que en los próximos trimestres el proceso deflacionario en México siga avanzando. En el primer Informe Trimestral se mantienen vigentes los pronósticos para la inflación general y subyacente dados a conocer en el Anuncio de Política Monetaria del 9 de mayo de 2024. Se anticipa que ambas variables exhiban una trayectoria descendente a lo largo del horizonte de pronóstico. Sin embargo, ahora se prevé un descenso más gradual (Gráficas 127 y 128, y Cuadro 10). En consecuencia, se espera que la inflación general converja a la meta de 3% en el cuarto trimestre de 2025, dos trimestres</w:t>
      </w:r>
      <w:r w:rsidRPr="005D12C6">
        <w:t xml:space="preserve"> </w:t>
      </w:r>
      <w:r w:rsidRPr="00936BEF">
        <w:rPr>
          <w:sz w:val="22"/>
          <w:szCs w:val="22"/>
        </w:rPr>
        <w:lastRenderedPageBreak/>
        <w:t>después de lo previsto en el Informe previo. Por su parte, se anticipa que la inflación subyacente se ubique en 3% en ese mismo trimestre.</w:t>
      </w:r>
    </w:p>
    <w:p w14:paraId="5DB7D2EC" w14:textId="53DB784E" w:rsidR="004962F1" w:rsidRDefault="004962F1" w:rsidP="004962F1">
      <w:pPr>
        <w:spacing w:before="0" w:after="0"/>
        <w:jc w:val="center"/>
      </w:pPr>
      <w:r w:rsidRPr="005D12C6">
        <w:rPr>
          <w:noProof/>
          <w:lang w:val="es-MX" w:eastAsia="es-MX"/>
        </w:rPr>
        <w:drawing>
          <wp:inline distT="0" distB="0" distL="0" distR="0" wp14:anchorId="25A328D8" wp14:editId="5A7F9F92">
            <wp:extent cx="4594473" cy="271590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9108" cy="2771849"/>
                    </a:xfrm>
                    <a:prstGeom prst="rect">
                      <a:avLst/>
                    </a:prstGeom>
                    <a:solidFill>
                      <a:schemeClr val="accent1">
                        <a:lumMod val="40000"/>
                        <a:lumOff val="60000"/>
                      </a:schemeClr>
                    </a:solidFill>
                  </pic:spPr>
                </pic:pic>
              </a:graphicData>
            </a:graphic>
          </wp:inline>
        </w:drawing>
      </w:r>
    </w:p>
    <w:p w14:paraId="661301D7" w14:textId="7D948CDD" w:rsidR="004962F1" w:rsidRPr="005D12C6" w:rsidRDefault="004962F1" w:rsidP="004962F1">
      <w:pPr>
        <w:spacing w:before="0" w:after="0"/>
        <w:jc w:val="center"/>
      </w:pPr>
      <w:r w:rsidRPr="005D12C6">
        <w:rPr>
          <w:noProof/>
          <w:lang w:val="es-MX" w:eastAsia="es-MX"/>
        </w:rPr>
        <w:drawing>
          <wp:inline distT="0" distB="0" distL="0" distR="0" wp14:anchorId="46ECE50F" wp14:editId="5A6D125E">
            <wp:extent cx="4452730" cy="4638834"/>
            <wp:effectExtent l="0" t="0" r="508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3680" cy="4691914"/>
                    </a:xfrm>
                    <a:prstGeom prst="rect">
                      <a:avLst/>
                    </a:prstGeom>
                  </pic:spPr>
                </pic:pic>
              </a:graphicData>
            </a:graphic>
          </wp:inline>
        </w:drawing>
      </w:r>
    </w:p>
    <w:p w14:paraId="0CE0D78B" w14:textId="77777777" w:rsidR="00AA5812" w:rsidRPr="005D12C6" w:rsidRDefault="00AA5812" w:rsidP="00AA5812">
      <w:pPr>
        <w:spacing w:before="0" w:after="0"/>
      </w:pPr>
    </w:p>
    <w:p w14:paraId="7014121D" w14:textId="77777777" w:rsidR="00AA5812" w:rsidRPr="00936BEF" w:rsidRDefault="00AA5812" w:rsidP="00AA5812">
      <w:pPr>
        <w:spacing w:before="0" w:after="0"/>
        <w:rPr>
          <w:sz w:val="22"/>
          <w:szCs w:val="22"/>
        </w:rPr>
      </w:pPr>
      <w:r w:rsidRPr="00936BEF">
        <w:rPr>
          <w:sz w:val="22"/>
          <w:szCs w:val="22"/>
        </w:rPr>
        <w:lastRenderedPageBreak/>
        <w:t xml:space="preserve">Entre los principales riesgos a los que está sujeta la inflación destacan: Al alza: </w:t>
      </w:r>
    </w:p>
    <w:p w14:paraId="4D07C943" w14:textId="77777777" w:rsidR="00AA5812" w:rsidRPr="00936BEF" w:rsidRDefault="00AA5812" w:rsidP="00AA5812">
      <w:pPr>
        <w:spacing w:before="0" w:after="0"/>
        <w:rPr>
          <w:sz w:val="22"/>
          <w:szCs w:val="22"/>
        </w:rPr>
      </w:pPr>
      <w:r w:rsidRPr="00936BEF">
        <w:rPr>
          <w:sz w:val="22"/>
          <w:szCs w:val="22"/>
        </w:rPr>
        <w:t xml:space="preserve">I. Persistencia de la inflación subyacente, ante la magnitud, alcance y duración de los choques que se han enfrentado. </w:t>
      </w:r>
    </w:p>
    <w:p w14:paraId="3EC0EA61" w14:textId="77777777" w:rsidR="00AA5812" w:rsidRPr="00936BEF" w:rsidRDefault="00AA5812" w:rsidP="00AA5812">
      <w:pPr>
        <w:spacing w:before="0" w:after="0"/>
        <w:rPr>
          <w:sz w:val="22"/>
          <w:szCs w:val="22"/>
        </w:rPr>
      </w:pPr>
      <w:r w:rsidRPr="00936BEF">
        <w:rPr>
          <w:sz w:val="22"/>
          <w:szCs w:val="22"/>
        </w:rPr>
        <w:t xml:space="preserve">II. Episodios de depreciación cambiaria, posiblemente ante eventos de volatilidad en los mercados financieros internacionales. </w:t>
      </w:r>
    </w:p>
    <w:p w14:paraId="09EC5951" w14:textId="77777777" w:rsidR="00AA5812" w:rsidRPr="00936BEF" w:rsidRDefault="00AA5812" w:rsidP="00AA5812">
      <w:pPr>
        <w:spacing w:before="0" w:after="0"/>
        <w:rPr>
          <w:sz w:val="22"/>
          <w:szCs w:val="22"/>
        </w:rPr>
      </w:pPr>
      <w:r w:rsidRPr="00936BEF">
        <w:rPr>
          <w:sz w:val="22"/>
          <w:szCs w:val="22"/>
        </w:rPr>
        <w:t xml:space="preserve">III. Mayores presiones de costos que pudieran traspasarse a los precios al consumidor. </w:t>
      </w:r>
    </w:p>
    <w:p w14:paraId="4B2B363E" w14:textId="77777777" w:rsidR="00AA5812" w:rsidRPr="00936BEF" w:rsidRDefault="00AA5812" w:rsidP="00AA5812">
      <w:pPr>
        <w:spacing w:before="0" w:after="0"/>
        <w:rPr>
          <w:sz w:val="22"/>
          <w:szCs w:val="22"/>
        </w:rPr>
      </w:pPr>
      <w:r w:rsidRPr="00936BEF">
        <w:rPr>
          <w:sz w:val="22"/>
          <w:szCs w:val="22"/>
        </w:rPr>
        <w:t xml:space="preserve">IV. Que la economía muestre una resiliencia mayor a la esperada que incida en una reducción de la inflación más gradual de lo previsto. </w:t>
      </w:r>
    </w:p>
    <w:p w14:paraId="53CCBCBE" w14:textId="77777777" w:rsidR="00AA5812" w:rsidRPr="00936BEF" w:rsidRDefault="00AA5812" w:rsidP="00AA5812">
      <w:pPr>
        <w:spacing w:before="0" w:after="0"/>
        <w:rPr>
          <w:sz w:val="22"/>
          <w:szCs w:val="22"/>
        </w:rPr>
      </w:pPr>
      <w:r w:rsidRPr="00936BEF">
        <w:rPr>
          <w:sz w:val="22"/>
          <w:szCs w:val="22"/>
        </w:rPr>
        <w:t xml:space="preserve">V. Afectaciones climáticas que pudieran impactar los precios de algunos productos. </w:t>
      </w:r>
    </w:p>
    <w:p w14:paraId="7071A527" w14:textId="77777777" w:rsidR="00AA5812" w:rsidRPr="00936BEF" w:rsidRDefault="00AA5812" w:rsidP="00AA5812">
      <w:pPr>
        <w:spacing w:before="0" w:after="0"/>
        <w:rPr>
          <w:sz w:val="22"/>
          <w:szCs w:val="22"/>
        </w:rPr>
      </w:pPr>
      <w:r w:rsidRPr="00936BEF">
        <w:rPr>
          <w:sz w:val="22"/>
          <w:szCs w:val="22"/>
        </w:rPr>
        <w:t xml:space="preserve">VI. Una profundización de los conflictos geopolíticos que pudiera generar disrupciones en las cadenas globales de producción. </w:t>
      </w:r>
    </w:p>
    <w:p w14:paraId="52D9CB18" w14:textId="77777777" w:rsidR="00AA5812" w:rsidRPr="00936BEF" w:rsidRDefault="00AA5812" w:rsidP="00AA5812">
      <w:pPr>
        <w:spacing w:before="0" w:after="0"/>
        <w:rPr>
          <w:sz w:val="22"/>
          <w:szCs w:val="22"/>
        </w:rPr>
      </w:pPr>
      <w:r w:rsidRPr="00936BEF">
        <w:rPr>
          <w:sz w:val="22"/>
          <w:szCs w:val="22"/>
        </w:rPr>
        <w:t xml:space="preserve">A la baja: </w:t>
      </w:r>
    </w:p>
    <w:p w14:paraId="0851305D" w14:textId="77777777" w:rsidR="00AA5812" w:rsidRPr="00936BEF" w:rsidRDefault="00AA5812" w:rsidP="00AA5812">
      <w:pPr>
        <w:spacing w:before="0" w:after="0"/>
        <w:rPr>
          <w:sz w:val="22"/>
          <w:szCs w:val="22"/>
        </w:rPr>
      </w:pPr>
      <w:r w:rsidRPr="00936BEF">
        <w:rPr>
          <w:sz w:val="22"/>
          <w:szCs w:val="22"/>
        </w:rPr>
        <w:t xml:space="preserve">I. Una actividad económica mundial, de Estados Unidos o de México, menor a la anticipada que pudiera implicar menores presiones sobre la inflación de nuestro país. </w:t>
      </w:r>
    </w:p>
    <w:p w14:paraId="2DB90EB1" w14:textId="77777777" w:rsidR="00AA5812" w:rsidRPr="00936BEF" w:rsidRDefault="00AA5812" w:rsidP="00AA5812">
      <w:pPr>
        <w:spacing w:before="0" w:after="0"/>
        <w:rPr>
          <w:sz w:val="22"/>
          <w:szCs w:val="22"/>
        </w:rPr>
      </w:pPr>
      <w:r w:rsidRPr="00936BEF">
        <w:rPr>
          <w:sz w:val="22"/>
          <w:szCs w:val="22"/>
        </w:rPr>
        <w:t xml:space="preserve">II. Que el traspaso de las presiones de costos a los precios esté acotado. </w:t>
      </w:r>
    </w:p>
    <w:p w14:paraId="2F756AE7" w14:textId="77777777" w:rsidR="00AA5812" w:rsidRPr="00936BEF" w:rsidRDefault="00AA5812" w:rsidP="00AA5812">
      <w:pPr>
        <w:spacing w:before="0" w:after="0"/>
        <w:rPr>
          <w:sz w:val="22"/>
          <w:szCs w:val="22"/>
        </w:rPr>
      </w:pPr>
      <w:r w:rsidRPr="00936BEF">
        <w:rPr>
          <w:sz w:val="22"/>
          <w:szCs w:val="22"/>
        </w:rPr>
        <w:t>III. Que los niveles más bajos del tipo de cambio respecto a inicios de 2023 contribuyan más que lo anticipado a mitigar ciertas presiones sobre la inflación.</w:t>
      </w:r>
    </w:p>
    <w:p w14:paraId="2AFCCB7F" w14:textId="57A68BEA" w:rsidR="00866639" w:rsidRPr="00936BEF" w:rsidRDefault="00866639" w:rsidP="00866639">
      <w:pPr>
        <w:spacing w:before="0" w:after="0"/>
        <w:jc w:val="center"/>
        <w:rPr>
          <w:sz w:val="22"/>
          <w:szCs w:val="22"/>
        </w:rPr>
      </w:pPr>
    </w:p>
    <w:p w14:paraId="48D9092E" w14:textId="59DDEEFA" w:rsidR="000E2352" w:rsidRPr="00936BEF" w:rsidRDefault="000E2352" w:rsidP="000E2352">
      <w:pPr>
        <w:spacing w:before="0" w:after="0"/>
        <w:rPr>
          <w:rFonts w:eastAsia="Calibri" w:cs="Times New Roman"/>
          <w:sz w:val="22"/>
          <w:szCs w:val="22"/>
        </w:rPr>
      </w:pPr>
      <w:r w:rsidRPr="00936BEF">
        <w:rPr>
          <w:rFonts w:eastAsia="Calibri" w:cs="Times New Roman"/>
          <w:sz w:val="22"/>
          <w:szCs w:val="22"/>
        </w:rPr>
        <w:t>En el primer trimestre de 2024, la economía mexicana mostró al</w:t>
      </w:r>
      <w:r w:rsidR="00325346" w:rsidRPr="00936BEF">
        <w:rPr>
          <w:rFonts w:eastAsia="Calibri" w:cs="Times New Roman"/>
          <w:sz w:val="22"/>
          <w:szCs w:val="22"/>
        </w:rPr>
        <w:t>gunos indicadores interesantes:</w:t>
      </w:r>
    </w:p>
    <w:p w14:paraId="009B90A0" w14:textId="77777777" w:rsidR="003F1628" w:rsidRPr="00936BEF" w:rsidRDefault="003F1628" w:rsidP="003F1628">
      <w:pPr>
        <w:spacing w:before="0" w:after="0"/>
        <w:rPr>
          <w:rFonts w:eastAsia="Calibri" w:cs="Times New Roman"/>
          <w:sz w:val="22"/>
          <w:szCs w:val="22"/>
        </w:rPr>
      </w:pPr>
    </w:p>
    <w:p w14:paraId="6B0800BF" w14:textId="3BAF422D" w:rsidR="003F1628" w:rsidRPr="00936BEF" w:rsidRDefault="003F1628" w:rsidP="003F1628">
      <w:pPr>
        <w:spacing w:before="0" w:after="0"/>
        <w:rPr>
          <w:rFonts w:eastAsia="Calibri" w:cs="Times New Roman"/>
          <w:sz w:val="22"/>
          <w:szCs w:val="22"/>
        </w:rPr>
      </w:pPr>
      <w:r w:rsidRPr="00936BEF">
        <w:rPr>
          <w:rFonts w:eastAsia="Calibri" w:cs="Times New Roman"/>
          <w:sz w:val="22"/>
          <w:szCs w:val="22"/>
        </w:rPr>
        <w:t>Crecimiento económico: Durante el primer trimestre de 2024, la economía m</w:t>
      </w:r>
      <w:r w:rsidR="000A57AB" w:rsidRPr="00936BEF">
        <w:rPr>
          <w:rFonts w:eastAsia="Calibri" w:cs="Times New Roman"/>
          <w:sz w:val="22"/>
          <w:szCs w:val="22"/>
        </w:rPr>
        <w:t>exicana creció un 2% real anual</w:t>
      </w:r>
      <w:r w:rsidRPr="00936BEF">
        <w:rPr>
          <w:rFonts w:eastAsia="Calibri" w:cs="Times New Roman"/>
          <w:sz w:val="22"/>
          <w:szCs w:val="22"/>
        </w:rPr>
        <w:t>. En lo que va de la actual administración, Michoacán ha tenido un repunte en el crecimiento económico del 3.9%.</w:t>
      </w:r>
    </w:p>
    <w:p w14:paraId="77CD3614" w14:textId="77777777" w:rsidR="00D73B3E" w:rsidRPr="00936BEF" w:rsidRDefault="00D73B3E" w:rsidP="003F1628">
      <w:pPr>
        <w:spacing w:before="0" w:after="0"/>
        <w:rPr>
          <w:rFonts w:eastAsia="Calibri" w:cs="Times New Roman"/>
          <w:sz w:val="22"/>
          <w:szCs w:val="22"/>
        </w:rPr>
      </w:pPr>
    </w:p>
    <w:p w14:paraId="2D118930" w14:textId="40943159" w:rsidR="003F1628" w:rsidRPr="00936BEF" w:rsidRDefault="003F1628" w:rsidP="003F1628">
      <w:pPr>
        <w:spacing w:before="0" w:after="0"/>
        <w:rPr>
          <w:rFonts w:eastAsia="Calibri" w:cs="Times New Roman"/>
          <w:sz w:val="22"/>
          <w:szCs w:val="22"/>
        </w:rPr>
      </w:pPr>
      <w:r w:rsidRPr="00936BEF">
        <w:rPr>
          <w:rFonts w:eastAsia="Calibri" w:cs="Times New Roman"/>
          <w:sz w:val="22"/>
          <w:szCs w:val="22"/>
        </w:rPr>
        <w:t>Empleo: Se generaron 470 mil nuevos empleos promedio en</w:t>
      </w:r>
      <w:r w:rsidR="00834CA0" w:rsidRPr="00936BEF">
        <w:rPr>
          <w:rFonts w:eastAsia="Calibri" w:cs="Times New Roman"/>
          <w:sz w:val="22"/>
          <w:szCs w:val="22"/>
        </w:rPr>
        <w:t xml:space="preserve"> el trimestre a nivel nacional.</w:t>
      </w:r>
    </w:p>
    <w:p w14:paraId="16A098FA" w14:textId="77777777" w:rsidR="00D73B3E" w:rsidRPr="00936BEF" w:rsidRDefault="00D73B3E" w:rsidP="003F1628">
      <w:pPr>
        <w:spacing w:before="0" w:after="0"/>
        <w:rPr>
          <w:rFonts w:eastAsia="Calibri" w:cs="Times New Roman"/>
          <w:sz w:val="22"/>
          <w:szCs w:val="22"/>
        </w:rPr>
      </w:pPr>
    </w:p>
    <w:p w14:paraId="14C8C7BD" w14:textId="57B55181" w:rsidR="003F1628" w:rsidRPr="00936BEF" w:rsidRDefault="003F1628" w:rsidP="003F1628">
      <w:pPr>
        <w:spacing w:before="0" w:after="0"/>
        <w:rPr>
          <w:rFonts w:eastAsia="Calibri" w:cs="Times New Roman"/>
          <w:sz w:val="22"/>
          <w:szCs w:val="22"/>
        </w:rPr>
      </w:pPr>
      <w:r w:rsidRPr="00936BEF">
        <w:rPr>
          <w:rFonts w:eastAsia="Calibri" w:cs="Times New Roman"/>
          <w:sz w:val="22"/>
          <w:szCs w:val="22"/>
        </w:rPr>
        <w:t xml:space="preserve">Finanzas públicas: Las finanzas públicas se mantuvieron robustas, con una recaudación tributaria que creció un 3.4% real anual entre enero y marzo. La </w:t>
      </w:r>
      <w:r w:rsidRPr="00936BEF">
        <w:rPr>
          <w:rFonts w:eastAsia="Calibri" w:cs="Times New Roman"/>
          <w:sz w:val="22"/>
          <w:szCs w:val="22"/>
        </w:rPr>
        <w:lastRenderedPageBreak/>
        <w:t>deuda pública de México se mantuvo estable, reduciéndose como porcentaje del Producto Interno Bruto (PIB) a un nivel sostenible del 45.5%.</w:t>
      </w:r>
    </w:p>
    <w:p w14:paraId="2A195E1A" w14:textId="77777777" w:rsidR="00D73B3E" w:rsidRPr="00936BEF" w:rsidRDefault="00D73B3E" w:rsidP="003F1628">
      <w:pPr>
        <w:spacing w:before="0" w:after="0"/>
        <w:rPr>
          <w:rFonts w:eastAsia="Calibri" w:cs="Times New Roman"/>
          <w:sz w:val="22"/>
          <w:szCs w:val="22"/>
        </w:rPr>
      </w:pPr>
    </w:p>
    <w:p w14:paraId="75A35434" w14:textId="6032A829" w:rsidR="003F1628" w:rsidRPr="00936BEF" w:rsidRDefault="003F1628" w:rsidP="003F1628">
      <w:pPr>
        <w:spacing w:before="0" w:after="0"/>
        <w:rPr>
          <w:rFonts w:eastAsia="Calibri" w:cs="Times New Roman"/>
          <w:sz w:val="22"/>
          <w:szCs w:val="22"/>
        </w:rPr>
      </w:pPr>
      <w:r w:rsidRPr="00936BEF">
        <w:rPr>
          <w:rFonts w:eastAsia="Calibri" w:cs="Times New Roman"/>
          <w:sz w:val="22"/>
          <w:szCs w:val="22"/>
        </w:rPr>
        <w:t>Inversión: La inversión en infraestructura experimentó un aumento significativo de 23.3% anual. La inversión continuó mostrando un comportamiento favorable con un crecimiento de 15.3% anual en enero de 2024.</w:t>
      </w:r>
    </w:p>
    <w:p w14:paraId="54A1ACAB" w14:textId="77777777" w:rsidR="00D73B3E" w:rsidRPr="005D12C6" w:rsidRDefault="00D73B3E" w:rsidP="003F1628">
      <w:pPr>
        <w:spacing w:before="0" w:after="0"/>
        <w:rPr>
          <w:rFonts w:eastAsia="Calibri" w:cs="Times New Roman"/>
          <w:sz w:val="22"/>
          <w:szCs w:val="22"/>
        </w:rPr>
      </w:pPr>
    </w:p>
    <w:p w14:paraId="12C395AA" w14:textId="4D8A8FA3" w:rsidR="003F1628" w:rsidRPr="005D12C6" w:rsidRDefault="003F1628" w:rsidP="003F1628">
      <w:pPr>
        <w:spacing w:before="0" w:after="0"/>
        <w:rPr>
          <w:rFonts w:eastAsia="Calibri" w:cs="Times New Roman"/>
          <w:sz w:val="22"/>
          <w:szCs w:val="22"/>
        </w:rPr>
      </w:pPr>
      <w:r w:rsidRPr="005D12C6">
        <w:rPr>
          <w:rFonts w:eastAsia="Calibri" w:cs="Times New Roman"/>
          <w:sz w:val="22"/>
          <w:szCs w:val="22"/>
        </w:rPr>
        <w:t>Comercio internacional: En marzo de 2024, las ventas internacionales de Michoacán de Ocampo fueron de US$657M y un total de US$134M en compras internacionales. Para este mes el balance comercial neto de Michoacán de Ocampo fue de US$524M.</w:t>
      </w:r>
    </w:p>
    <w:p w14:paraId="209571C4" w14:textId="21426198" w:rsidR="00D73B3E" w:rsidRPr="005D12C6" w:rsidRDefault="00D73B3E" w:rsidP="00D73B3E">
      <w:pPr>
        <w:spacing w:before="0" w:after="0"/>
        <w:rPr>
          <w:rFonts w:eastAsia="Calibri" w:cs="Times New Roman"/>
          <w:sz w:val="22"/>
          <w:szCs w:val="22"/>
        </w:rPr>
      </w:pPr>
      <w:r w:rsidRPr="005D12C6">
        <w:rPr>
          <w:rFonts w:eastAsia="Calibri" w:cs="Times New Roman"/>
          <w:sz w:val="22"/>
          <w:szCs w:val="22"/>
        </w:rPr>
        <w:t xml:space="preserve">La principal venta internacional en marzo de 2024 </w:t>
      </w:r>
      <w:r w:rsidR="00A23A58" w:rsidRPr="005D12C6">
        <w:rPr>
          <w:rFonts w:eastAsia="Calibri" w:cs="Times New Roman"/>
          <w:sz w:val="22"/>
          <w:szCs w:val="22"/>
        </w:rPr>
        <w:t xml:space="preserve">del estado de Michoacán </w:t>
      </w:r>
      <w:r w:rsidRPr="005D12C6">
        <w:rPr>
          <w:rFonts w:eastAsia="Calibri" w:cs="Times New Roman"/>
          <w:sz w:val="22"/>
          <w:szCs w:val="22"/>
        </w:rPr>
        <w:t xml:space="preserve">fue </w:t>
      </w:r>
      <w:r w:rsidR="00A23A58" w:rsidRPr="005D12C6">
        <w:rPr>
          <w:rFonts w:eastAsia="Calibri" w:cs="Times New Roman"/>
          <w:sz w:val="22"/>
          <w:szCs w:val="22"/>
        </w:rPr>
        <w:t xml:space="preserve">de </w:t>
      </w:r>
      <w:r w:rsidRPr="005D12C6">
        <w:rPr>
          <w:rFonts w:eastAsia="Calibri" w:cs="Times New Roman"/>
          <w:sz w:val="22"/>
          <w:szCs w:val="22"/>
        </w:rPr>
        <w:t>Higos, Piñas, Aguacates, Guayaba, Mangos, Frescos o Secos (US$362M). Los principales destinos de ventas internacionales fueron Estados Unidos (US$500M), Canadá (US$17.7M) y Japón (US$8.25M).</w:t>
      </w:r>
    </w:p>
    <w:p w14:paraId="203A406D" w14:textId="77777777" w:rsidR="00D73B3E" w:rsidRPr="005D12C6" w:rsidRDefault="00D73B3E" w:rsidP="00D73B3E">
      <w:pPr>
        <w:spacing w:before="0" w:after="0"/>
        <w:rPr>
          <w:rFonts w:eastAsia="Calibri" w:cs="Times New Roman"/>
          <w:sz w:val="22"/>
          <w:szCs w:val="22"/>
        </w:rPr>
      </w:pPr>
    </w:p>
    <w:p w14:paraId="5969FBBA" w14:textId="75C64F5D" w:rsidR="00D73B3E" w:rsidRPr="005D12C6" w:rsidRDefault="00D73B3E" w:rsidP="00D73B3E">
      <w:pPr>
        <w:spacing w:before="0" w:after="0"/>
        <w:rPr>
          <w:rFonts w:eastAsia="Calibri" w:cs="Times New Roman"/>
          <w:sz w:val="22"/>
          <w:szCs w:val="22"/>
        </w:rPr>
      </w:pPr>
      <w:r w:rsidRPr="005D12C6">
        <w:rPr>
          <w:rFonts w:eastAsia="Calibri" w:cs="Times New Roman"/>
          <w:sz w:val="22"/>
          <w:szCs w:val="22"/>
        </w:rPr>
        <w:t xml:space="preserve">La principal compra internacional en marzo de 2024 fue Polímeros de </w:t>
      </w:r>
      <w:proofErr w:type="spellStart"/>
      <w:r w:rsidRPr="005D12C6">
        <w:rPr>
          <w:rFonts w:eastAsia="Calibri" w:cs="Times New Roman"/>
          <w:sz w:val="22"/>
          <w:szCs w:val="22"/>
        </w:rPr>
        <w:t>Propileno</w:t>
      </w:r>
      <w:proofErr w:type="spellEnd"/>
      <w:r w:rsidRPr="005D12C6">
        <w:rPr>
          <w:rFonts w:eastAsia="Calibri" w:cs="Times New Roman"/>
          <w:sz w:val="22"/>
          <w:szCs w:val="22"/>
        </w:rPr>
        <w:t xml:space="preserve"> o de otras Olefinas, en Formas Primarias (US$10.4M). Los principales países de origen de las compras internacionales fueron Estados Unidos (US$16.7M), Rusia (US$7.32M) y China (US$6.34M).</w:t>
      </w:r>
    </w:p>
    <w:p w14:paraId="275A0DF3" w14:textId="77777777" w:rsidR="003F1628" w:rsidRPr="005D12C6" w:rsidRDefault="003F1628" w:rsidP="003F1628">
      <w:pPr>
        <w:spacing w:before="0" w:after="0"/>
        <w:rPr>
          <w:rFonts w:eastAsia="Calibri" w:cs="Times New Roman"/>
          <w:sz w:val="22"/>
          <w:szCs w:val="22"/>
        </w:rPr>
      </w:pPr>
    </w:p>
    <w:p w14:paraId="7B0D4583" w14:textId="6207572B" w:rsidR="00BD4F6A" w:rsidRPr="005D12C6" w:rsidRDefault="000C16C6" w:rsidP="00CD477C">
      <w:pPr>
        <w:spacing w:before="0" w:after="0"/>
        <w:rPr>
          <w:rFonts w:eastAsia="Calibri" w:cs="Times New Roman"/>
          <w:b/>
          <w:sz w:val="22"/>
          <w:szCs w:val="22"/>
        </w:rPr>
      </w:pPr>
      <w:r w:rsidRPr="005D12C6">
        <w:rPr>
          <w:rFonts w:eastAsia="Calibri" w:cs="Times New Roman"/>
          <w:b/>
          <w:sz w:val="22"/>
          <w:szCs w:val="22"/>
        </w:rPr>
        <w:t>3</w:t>
      </w:r>
      <w:r w:rsidR="00BD4F6A" w:rsidRPr="005D12C6">
        <w:rPr>
          <w:rFonts w:eastAsia="Calibri" w:cs="Times New Roman"/>
          <w:b/>
          <w:sz w:val="22"/>
          <w:szCs w:val="22"/>
        </w:rPr>
        <w:t>.</w:t>
      </w:r>
      <w:r w:rsidR="00BD4F6A" w:rsidRPr="005D12C6">
        <w:rPr>
          <w:rFonts w:eastAsia="Calibri" w:cs="Times New Roman"/>
          <w:b/>
          <w:sz w:val="22"/>
          <w:szCs w:val="22"/>
        </w:rPr>
        <w:tab/>
        <w:t>Organización y Objeto Social</w:t>
      </w:r>
    </w:p>
    <w:p w14:paraId="63C58D38" w14:textId="77777777" w:rsidR="00C77631" w:rsidRPr="005D12C6" w:rsidRDefault="00C77631" w:rsidP="00CD477C">
      <w:pPr>
        <w:spacing w:before="0" w:after="0"/>
        <w:rPr>
          <w:rFonts w:eastAsia="Calibri" w:cs="Times New Roman"/>
          <w:sz w:val="22"/>
          <w:szCs w:val="22"/>
        </w:rPr>
      </w:pPr>
    </w:p>
    <w:p w14:paraId="4730A71B" w14:textId="1CBEEE38"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Se informa sobre:</w:t>
      </w:r>
    </w:p>
    <w:p w14:paraId="64DC1924" w14:textId="77777777" w:rsidR="00C77631" w:rsidRPr="005D12C6" w:rsidRDefault="00C77631" w:rsidP="00CD477C">
      <w:pPr>
        <w:spacing w:before="0" w:after="0"/>
        <w:ind w:firstLine="360"/>
        <w:rPr>
          <w:rFonts w:eastAsia="Calibri" w:cs="Times New Roman"/>
          <w:b/>
          <w:bCs/>
          <w:sz w:val="22"/>
          <w:szCs w:val="22"/>
        </w:rPr>
      </w:pPr>
    </w:p>
    <w:p w14:paraId="30879299" w14:textId="1B45EE85" w:rsidR="00BD4F6A" w:rsidRPr="005D12C6" w:rsidRDefault="00BD4F6A" w:rsidP="00CD477C">
      <w:pPr>
        <w:spacing w:before="0" w:after="0"/>
        <w:ind w:firstLine="360"/>
        <w:rPr>
          <w:rFonts w:eastAsia="Calibri" w:cs="Times New Roman"/>
          <w:b/>
          <w:bCs/>
          <w:sz w:val="22"/>
          <w:szCs w:val="22"/>
        </w:rPr>
      </w:pPr>
      <w:r w:rsidRPr="005D12C6">
        <w:rPr>
          <w:rFonts w:eastAsia="Calibri" w:cs="Times New Roman"/>
          <w:b/>
          <w:bCs/>
          <w:sz w:val="22"/>
          <w:szCs w:val="22"/>
        </w:rPr>
        <w:t>a) Objeto Social</w:t>
      </w:r>
    </w:p>
    <w:p w14:paraId="7C9C8C4A" w14:textId="77777777" w:rsidR="00C77631" w:rsidRPr="005D12C6" w:rsidRDefault="00C77631" w:rsidP="00CD477C">
      <w:pPr>
        <w:spacing w:before="0" w:after="0"/>
        <w:rPr>
          <w:rFonts w:eastAsia="Calibri" w:cs="Times New Roman"/>
          <w:sz w:val="22"/>
          <w:szCs w:val="22"/>
        </w:rPr>
      </w:pPr>
    </w:p>
    <w:p w14:paraId="5C0FBE9D" w14:textId="6ABD5616"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El Gobierno de Michoacán tiene como objetivo y meta la de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63106E5D" w14:textId="77777777" w:rsidR="00BD4F6A" w:rsidRPr="005D12C6" w:rsidRDefault="00BD4F6A" w:rsidP="00CD477C">
      <w:pPr>
        <w:spacing w:before="0" w:after="0"/>
        <w:rPr>
          <w:rFonts w:eastAsia="Calibri" w:cs="Times New Roman"/>
          <w:sz w:val="22"/>
          <w:szCs w:val="22"/>
        </w:rPr>
      </w:pPr>
    </w:p>
    <w:p w14:paraId="0866E41E" w14:textId="4151DE1E"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lastRenderedPageBreak/>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2D3888E0" w:rsidR="00BD4F6A" w:rsidRPr="005D12C6" w:rsidRDefault="00BD4F6A" w:rsidP="00CD477C">
      <w:pPr>
        <w:spacing w:before="0" w:after="0"/>
        <w:ind w:firstLine="360"/>
        <w:rPr>
          <w:rFonts w:eastAsia="Calibri" w:cs="Times New Roman"/>
          <w:b/>
          <w:bCs/>
          <w:sz w:val="22"/>
          <w:szCs w:val="22"/>
        </w:rPr>
      </w:pPr>
    </w:p>
    <w:p w14:paraId="2A4D9241" w14:textId="2CC783FF" w:rsidR="00BD4F6A" w:rsidRPr="005D12C6" w:rsidRDefault="00BD4F6A" w:rsidP="00CD477C">
      <w:pPr>
        <w:spacing w:before="0" w:after="0"/>
        <w:ind w:firstLine="360"/>
        <w:rPr>
          <w:rFonts w:eastAsia="Calibri" w:cs="Times New Roman"/>
          <w:b/>
          <w:bCs/>
          <w:sz w:val="22"/>
          <w:szCs w:val="22"/>
        </w:rPr>
      </w:pPr>
      <w:r w:rsidRPr="005D12C6">
        <w:rPr>
          <w:rFonts w:eastAsia="Calibri" w:cs="Times New Roman"/>
          <w:b/>
          <w:bCs/>
          <w:sz w:val="22"/>
          <w:szCs w:val="22"/>
        </w:rPr>
        <w:t>b)  Principal Actividad:</w:t>
      </w:r>
    </w:p>
    <w:p w14:paraId="7CF08C78" w14:textId="77777777" w:rsidR="00BD4F6A" w:rsidRPr="005D12C6" w:rsidRDefault="00BD4F6A" w:rsidP="00CD477C">
      <w:pPr>
        <w:pStyle w:val="Prrafodelista"/>
        <w:spacing w:line="360" w:lineRule="auto"/>
        <w:ind w:left="765"/>
        <w:rPr>
          <w:rFonts w:ascii="GalanoGrotesque-ExtraLight" w:eastAsia="Calibri" w:hAnsi="GalanoGrotesque-ExtraLight"/>
          <w:b/>
          <w:sz w:val="22"/>
          <w:szCs w:val="22"/>
          <w:lang w:val="es-MX"/>
        </w:rPr>
      </w:pPr>
    </w:p>
    <w:p w14:paraId="3349D506" w14:textId="77777777" w:rsidR="00BD4F6A" w:rsidRPr="005D12C6" w:rsidRDefault="00BD4F6A" w:rsidP="00CD477C">
      <w:pPr>
        <w:rPr>
          <w:rFonts w:eastAsia="Calibri" w:cs="Times New Roman"/>
          <w:sz w:val="22"/>
          <w:szCs w:val="22"/>
        </w:rPr>
      </w:pPr>
      <w:r w:rsidRPr="005D12C6">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14:paraId="7805091E" w14:textId="77777777" w:rsidR="00D75F85" w:rsidRPr="005D12C6" w:rsidRDefault="00D75F85" w:rsidP="00CD477C">
      <w:pPr>
        <w:spacing w:before="0" w:after="0"/>
        <w:ind w:firstLine="360"/>
        <w:rPr>
          <w:rFonts w:eastAsia="Calibri" w:cs="Times New Roman"/>
          <w:b/>
          <w:bCs/>
          <w:sz w:val="22"/>
          <w:szCs w:val="22"/>
        </w:rPr>
      </w:pPr>
    </w:p>
    <w:p w14:paraId="327E23B8" w14:textId="2D74E1BE" w:rsidR="00BD4F6A" w:rsidRPr="005D12C6" w:rsidRDefault="00BD4F6A" w:rsidP="00CD477C">
      <w:pPr>
        <w:spacing w:before="0" w:after="0"/>
        <w:ind w:firstLine="360"/>
        <w:rPr>
          <w:rFonts w:eastAsia="Calibri" w:cs="Times New Roman"/>
          <w:b/>
          <w:bCs/>
          <w:sz w:val="22"/>
          <w:szCs w:val="22"/>
        </w:rPr>
      </w:pPr>
      <w:r w:rsidRPr="005D12C6">
        <w:rPr>
          <w:rFonts w:eastAsia="Calibri" w:cs="Times New Roman"/>
          <w:b/>
          <w:bCs/>
          <w:sz w:val="22"/>
          <w:szCs w:val="22"/>
        </w:rPr>
        <w:t>c) Ejercicio Fiscal</w:t>
      </w:r>
    </w:p>
    <w:p w14:paraId="2C2D09D6" w14:textId="24B9EE3E" w:rsidR="00BD4F6A" w:rsidRPr="005D12C6" w:rsidRDefault="00BD4F6A" w:rsidP="00CD477C">
      <w:pPr>
        <w:rPr>
          <w:rFonts w:eastAsia="Calibri" w:cs="Times New Roman"/>
          <w:sz w:val="22"/>
          <w:szCs w:val="22"/>
        </w:rPr>
      </w:pPr>
      <w:r w:rsidRPr="005D12C6">
        <w:rPr>
          <w:rFonts w:eastAsia="Calibri" w:cs="Times New Roman"/>
          <w:sz w:val="22"/>
          <w:szCs w:val="22"/>
        </w:rPr>
        <w:t xml:space="preserve">Se informa </w:t>
      </w:r>
      <w:r w:rsidR="003E2C2C" w:rsidRPr="005D12C6">
        <w:rPr>
          <w:rFonts w:eastAsia="Calibri" w:cs="Times New Roman"/>
          <w:sz w:val="22"/>
          <w:szCs w:val="22"/>
        </w:rPr>
        <w:t xml:space="preserve">el periodo del </w:t>
      </w:r>
      <w:r w:rsidRPr="005D12C6">
        <w:rPr>
          <w:rFonts w:eastAsia="Calibri" w:cs="Times New Roman"/>
          <w:sz w:val="22"/>
          <w:szCs w:val="22"/>
        </w:rPr>
        <w:t xml:space="preserve">1 de enero al </w:t>
      </w:r>
      <w:r w:rsidR="00053575" w:rsidRPr="005D12C6">
        <w:rPr>
          <w:rFonts w:eastAsia="Calibri" w:cs="Times New Roman"/>
          <w:sz w:val="22"/>
          <w:szCs w:val="22"/>
        </w:rPr>
        <w:t>3</w:t>
      </w:r>
      <w:r w:rsidR="00207B00" w:rsidRPr="005D12C6">
        <w:rPr>
          <w:rFonts w:eastAsia="Calibri" w:cs="Times New Roman"/>
          <w:sz w:val="22"/>
          <w:szCs w:val="22"/>
        </w:rPr>
        <w:t>0</w:t>
      </w:r>
      <w:r w:rsidR="00053575" w:rsidRPr="005D12C6">
        <w:rPr>
          <w:rFonts w:eastAsia="Calibri" w:cs="Times New Roman"/>
          <w:sz w:val="22"/>
          <w:szCs w:val="22"/>
        </w:rPr>
        <w:t xml:space="preserve"> de </w:t>
      </w:r>
      <w:r w:rsidR="00F10C2B" w:rsidRPr="005D12C6">
        <w:rPr>
          <w:rFonts w:eastAsia="Calibri" w:cs="Times New Roman"/>
          <w:sz w:val="22"/>
          <w:szCs w:val="22"/>
        </w:rPr>
        <w:t>junio</w:t>
      </w:r>
      <w:r w:rsidRPr="005D12C6">
        <w:rPr>
          <w:rFonts w:eastAsia="Calibri" w:cs="Times New Roman"/>
          <w:sz w:val="22"/>
          <w:szCs w:val="22"/>
        </w:rPr>
        <w:t xml:space="preserve"> de 202</w:t>
      </w:r>
      <w:r w:rsidR="00DD6C98" w:rsidRPr="005D12C6">
        <w:rPr>
          <w:rFonts w:eastAsia="Calibri" w:cs="Times New Roman"/>
          <w:sz w:val="22"/>
          <w:szCs w:val="22"/>
        </w:rPr>
        <w:t>4</w:t>
      </w:r>
      <w:r w:rsidRPr="005D12C6">
        <w:rPr>
          <w:rFonts w:eastAsia="Calibri" w:cs="Times New Roman"/>
          <w:sz w:val="22"/>
          <w:szCs w:val="22"/>
        </w:rPr>
        <w:t>.</w:t>
      </w:r>
    </w:p>
    <w:p w14:paraId="76F7E4A4" w14:textId="77777777" w:rsidR="007110B4" w:rsidRPr="005D12C6" w:rsidRDefault="007110B4" w:rsidP="00CD477C">
      <w:pPr>
        <w:spacing w:before="0" w:after="0"/>
        <w:ind w:firstLine="360"/>
        <w:rPr>
          <w:rFonts w:eastAsia="Calibri" w:cs="Times New Roman"/>
          <w:b/>
          <w:bCs/>
          <w:sz w:val="22"/>
          <w:szCs w:val="22"/>
        </w:rPr>
      </w:pPr>
    </w:p>
    <w:p w14:paraId="56DF0EDD" w14:textId="4A70E069" w:rsidR="00BD4F6A" w:rsidRPr="005D12C6" w:rsidRDefault="00BD4F6A" w:rsidP="00CD477C">
      <w:pPr>
        <w:spacing w:before="0" w:after="0"/>
        <w:ind w:firstLine="360"/>
        <w:rPr>
          <w:rFonts w:eastAsia="Calibri" w:cs="Times New Roman"/>
          <w:b/>
          <w:bCs/>
          <w:sz w:val="22"/>
          <w:szCs w:val="22"/>
        </w:rPr>
      </w:pPr>
      <w:r w:rsidRPr="005D12C6">
        <w:rPr>
          <w:rFonts w:eastAsia="Calibri" w:cs="Times New Roman"/>
          <w:b/>
          <w:bCs/>
          <w:sz w:val="22"/>
          <w:szCs w:val="22"/>
        </w:rPr>
        <w:t>d) Régimen Jurídico</w:t>
      </w:r>
    </w:p>
    <w:p w14:paraId="7D8B2B99" w14:textId="77777777" w:rsidR="00E072C4" w:rsidRPr="005D12C6" w:rsidRDefault="00E072C4" w:rsidP="00CD477C">
      <w:pPr>
        <w:spacing w:before="0" w:after="0"/>
        <w:ind w:firstLine="360"/>
        <w:rPr>
          <w:rFonts w:eastAsia="Calibri" w:cs="Times New Roman"/>
          <w:b/>
          <w:bCs/>
          <w:sz w:val="22"/>
          <w:szCs w:val="22"/>
        </w:rPr>
      </w:pPr>
    </w:p>
    <w:p w14:paraId="22549011"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5D12C6">
        <w:rPr>
          <w:sz w:val="22"/>
          <w:szCs w:val="22"/>
        </w:rPr>
        <w:t xml:space="preserve">y está constituido por la porción de territorio nacional que le reconozcan la Constitución Federal, las leyes y los convenios. </w:t>
      </w:r>
    </w:p>
    <w:p w14:paraId="21279B45" w14:textId="77777777" w:rsidR="00BD4F6A" w:rsidRPr="005D12C6" w:rsidRDefault="00BD4F6A" w:rsidP="00CD477C">
      <w:pPr>
        <w:spacing w:before="0" w:after="0"/>
        <w:rPr>
          <w:sz w:val="22"/>
          <w:szCs w:val="22"/>
        </w:rPr>
      </w:pPr>
    </w:p>
    <w:p w14:paraId="077C574C" w14:textId="7977F47C" w:rsidR="00BD4F6A" w:rsidRPr="005D12C6" w:rsidRDefault="00BD4F6A" w:rsidP="00CD477C">
      <w:pPr>
        <w:spacing w:before="0" w:after="0"/>
        <w:rPr>
          <w:sz w:val="22"/>
          <w:szCs w:val="22"/>
        </w:rPr>
      </w:pPr>
      <w:r w:rsidRPr="005D12C6">
        <w:rPr>
          <w:sz w:val="22"/>
          <w:szCs w:val="22"/>
        </w:rPr>
        <w:t>El Poder Público del Estado se divide para su ejercicio en Ejecutivo</w:t>
      </w:r>
      <w:r w:rsidR="00312609" w:rsidRPr="005D12C6">
        <w:rPr>
          <w:sz w:val="22"/>
          <w:szCs w:val="22"/>
        </w:rPr>
        <w:t>, Legislativo</w:t>
      </w:r>
      <w:r w:rsidRPr="005D12C6">
        <w:rPr>
          <w:sz w:val="22"/>
          <w:szCs w:val="22"/>
        </w:rPr>
        <w:t xml:space="preserve"> y Judicial, los cuales actuarán separada y libremente, pero cooperando, en forma armónica, a la realización de los fines del Estado.</w:t>
      </w:r>
    </w:p>
    <w:p w14:paraId="527372D8" w14:textId="77777777" w:rsidR="00961461" w:rsidRPr="005D12C6" w:rsidRDefault="00961461" w:rsidP="00961461">
      <w:pPr>
        <w:spacing w:before="0" w:after="0"/>
        <w:rPr>
          <w:sz w:val="22"/>
          <w:szCs w:val="22"/>
        </w:rPr>
      </w:pPr>
    </w:p>
    <w:p w14:paraId="482DBF0C" w14:textId="59DEBDB6" w:rsidR="00BD4F6A" w:rsidRPr="005D12C6" w:rsidRDefault="00961461" w:rsidP="00961461">
      <w:pPr>
        <w:spacing w:before="0" w:after="0"/>
        <w:rPr>
          <w:sz w:val="22"/>
          <w:szCs w:val="22"/>
        </w:rPr>
      </w:pPr>
      <w:r w:rsidRPr="005D12C6">
        <w:rPr>
          <w:sz w:val="22"/>
          <w:szCs w:val="22"/>
        </w:rPr>
        <w:t xml:space="preserve">El Poder Ejecutivo del Estado de Michoacán de Ocampo está regulado principalmente por la Ley Orgánica de la Administración Pública del Estado de Michoacán de Ocampo y su estructura está constituida por el </w:t>
      </w:r>
      <w:r w:rsidRPr="005D12C6">
        <w:rPr>
          <w:b/>
          <w:sz w:val="22"/>
          <w:szCs w:val="22"/>
        </w:rPr>
        <w:t>Gobernador</w:t>
      </w:r>
      <w:r w:rsidRPr="005D12C6">
        <w:rPr>
          <w:sz w:val="22"/>
          <w:szCs w:val="22"/>
        </w:rPr>
        <w:t xml:space="preserve"> como máxima autoridad del Poder Ejecutivo y las Diversas </w:t>
      </w:r>
      <w:r w:rsidRPr="005D12C6">
        <w:rPr>
          <w:b/>
          <w:sz w:val="22"/>
          <w:szCs w:val="22"/>
        </w:rPr>
        <w:t>Secretarías</w:t>
      </w:r>
      <w:r w:rsidRPr="005D12C6">
        <w:rPr>
          <w:sz w:val="22"/>
          <w:szCs w:val="22"/>
        </w:rPr>
        <w:t xml:space="preserve"> que se encargan de áreas específicas como educación, salud, seguridad, entre otras.</w:t>
      </w:r>
    </w:p>
    <w:p w14:paraId="1BDC0D7B" w14:textId="77777777" w:rsidR="00961461" w:rsidRPr="005D12C6" w:rsidRDefault="00961461" w:rsidP="00CD477C">
      <w:pPr>
        <w:spacing w:before="0" w:after="0"/>
        <w:rPr>
          <w:sz w:val="22"/>
          <w:szCs w:val="22"/>
        </w:rPr>
      </w:pPr>
    </w:p>
    <w:p w14:paraId="63FDDBC2" w14:textId="1C4B4A7D" w:rsidR="00961461" w:rsidRPr="005D12C6" w:rsidRDefault="00961461" w:rsidP="00961461">
      <w:pPr>
        <w:spacing w:before="0" w:after="0"/>
        <w:rPr>
          <w:sz w:val="22"/>
          <w:szCs w:val="22"/>
        </w:rPr>
      </w:pPr>
      <w:r w:rsidRPr="005D12C6">
        <w:rPr>
          <w:sz w:val="22"/>
          <w:szCs w:val="22"/>
        </w:rPr>
        <w:lastRenderedPageBreak/>
        <w:t xml:space="preserve">El Poder Legislativo del Estado de Michoacán de Ocampo está regulado principalmente por la Ley Orgánica y de Procedimientos del Congreso del Estado de Michoacán de Ocampo y la Constitución Política del Estado Libre y Soberano de Michoacán de Ocampo y su estructura se conforma del </w:t>
      </w:r>
      <w:r w:rsidRPr="005D12C6">
        <w:rPr>
          <w:b/>
          <w:sz w:val="22"/>
          <w:szCs w:val="22"/>
        </w:rPr>
        <w:t>Congreso del Estado</w:t>
      </w:r>
      <w:r w:rsidRPr="005D12C6">
        <w:rPr>
          <w:sz w:val="22"/>
          <w:szCs w:val="22"/>
        </w:rPr>
        <w:t xml:space="preserve"> compuesto por diputados electos por sufragio universal, libre, secreto y directo, conforme a los principios de mayoría relativa y representación proporcional, el cual funciona por </w:t>
      </w:r>
      <w:r w:rsidRPr="005D12C6">
        <w:rPr>
          <w:b/>
          <w:sz w:val="22"/>
          <w:szCs w:val="22"/>
        </w:rPr>
        <w:t>legislaturas</w:t>
      </w:r>
      <w:r w:rsidRPr="005D12C6">
        <w:rPr>
          <w:sz w:val="22"/>
          <w:szCs w:val="22"/>
        </w:rPr>
        <w:t>, cada una con un periodo constitucional de tres años.</w:t>
      </w:r>
    </w:p>
    <w:p w14:paraId="1CE48489" w14:textId="77777777" w:rsidR="00961461" w:rsidRPr="005D12C6" w:rsidRDefault="00961461" w:rsidP="00CD477C">
      <w:pPr>
        <w:spacing w:before="0" w:after="0"/>
        <w:rPr>
          <w:sz w:val="22"/>
          <w:szCs w:val="22"/>
        </w:rPr>
      </w:pPr>
    </w:p>
    <w:p w14:paraId="3330E1CC" w14:textId="0B9CF85E" w:rsidR="001043A2" w:rsidRPr="005D12C6" w:rsidRDefault="001043A2" w:rsidP="001043A2">
      <w:pPr>
        <w:spacing w:before="0" w:after="0"/>
        <w:rPr>
          <w:sz w:val="22"/>
          <w:szCs w:val="22"/>
        </w:rPr>
      </w:pPr>
      <w:r w:rsidRPr="005D12C6">
        <w:rPr>
          <w:sz w:val="22"/>
          <w:szCs w:val="22"/>
        </w:rPr>
        <w:t>El Poder Judicial del Estado de Michoacán de Ocampo está regulado principalmente por la Ley Orgánica del Poder Judicial del Estado de Michoacán y su estructura se encuentra integrada por</w:t>
      </w:r>
      <w:r w:rsidR="00961461" w:rsidRPr="005D12C6">
        <w:rPr>
          <w:sz w:val="22"/>
          <w:szCs w:val="22"/>
        </w:rPr>
        <w:t xml:space="preserve"> un </w:t>
      </w:r>
      <w:r w:rsidRPr="005D12C6">
        <w:rPr>
          <w:b/>
          <w:sz w:val="22"/>
          <w:szCs w:val="22"/>
        </w:rPr>
        <w:t>Pleno</w:t>
      </w:r>
      <w:r w:rsidRPr="005D12C6">
        <w:rPr>
          <w:sz w:val="22"/>
          <w:szCs w:val="22"/>
        </w:rPr>
        <w:t xml:space="preserve"> </w:t>
      </w:r>
      <w:r w:rsidR="00961461" w:rsidRPr="005D12C6">
        <w:rPr>
          <w:sz w:val="22"/>
          <w:szCs w:val="22"/>
        </w:rPr>
        <w:t>c</w:t>
      </w:r>
      <w:r w:rsidRPr="005D12C6">
        <w:rPr>
          <w:sz w:val="22"/>
          <w:szCs w:val="22"/>
        </w:rPr>
        <w:t>ompuesto por todos los magistrados del Tribunal Superior de Justicia</w:t>
      </w:r>
      <w:r w:rsidR="00961461" w:rsidRPr="005D12C6">
        <w:rPr>
          <w:sz w:val="22"/>
          <w:szCs w:val="22"/>
        </w:rPr>
        <w:t xml:space="preserve">, un </w:t>
      </w:r>
      <w:r w:rsidR="00961461" w:rsidRPr="005D12C6">
        <w:rPr>
          <w:b/>
          <w:sz w:val="22"/>
          <w:szCs w:val="22"/>
        </w:rPr>
        <w:t xml:space="preserve">Consejo del Poder Judicial </w:t>
      </w:r>
      <w:r w:rsidR="00961461" w:rsidRPr="005D12C6">
        <w:rPr>
          <w:sz w:val="22"/>
          <w:szCs w:val="22"/>
        </w:rPr>
        <w:t>que es el</w:t>
      </w:r>
      <w:r w:rsidRPr="005D12C6">
        <w:rPr>
          <w:sz w:val="22"/>
          <w:szCs w:val="22"/>
        </w:rPr>
        <w:t xml:space="preserve"> Órgano encargado de la administración, vigilancia y disciplina del Poder Judicial</w:t>
      </w:r>
      <w:r w:rsidR="00961461" w:rsidRPr="005D12C6">
        <w:rPr>
          <w:sz w:val="22"/>
          <w:szCs w:val="22"/>
        </w:rPr>
        <w:t xml:space="preserve">, </w:t>
      </w:r>
      <w:r w:rsidRPr="005D12C6">
        <w:rPr>
          <w:b/>
          <w:sz w:val="22"/>
          <w:szCs w:val="22"/>
        </w:rPr>
        <w:t>Salas</w:t>
      </w:r>
      <w:r w:rsidR="00961461" w:rsidRPr="005D12C6">
        <w:rPr>
          <w:b/>
          <w:sz w:val="22"/>
          <w:szCs w:val="22"/>
        </w:rPr>
        <w:t xml:space="preserve"> </w:t>
      </w:r>
      <w:r w:rsidR="00961461" w:rsidRPr="005D12C6">
        <w:rPr>
          <w:sz w:val="22"/>
          <w:szCs w:val="22"/>
        </w:rPr>
        <w:t>d</w:t>
      </w:r>
      <w:r w:rsidRPr="005D12C6">
        <w:rPr>
          <w:sz w:val="22"/>
          <w:szCs w:val="22"/>
        </w:rPr>
        <w:t xml:space="preserve">ivididas en </w:t>
      </w:r>
      <w:r w:rsidR="00961461" w:rsidRPr="005D12C6">
        <w:rPr>
          <w:sz w:val="22"/>
          <w:szCs w:val="22"/>
        </w:rPr>
        <w:t>c</w:t>
      </w:r>
      <w:r w:rsidRPr="005D12C6">
        <w:rPr>
          <w:sz w:val="22"/>
          <w:szCs w:val="22"/>
        </w:rPr>
        <w:t>iviles, penales y familiares, entre otras</w:t>
      </w:r>
      <w:r w:rsidR="00961461" w:rsidRPr="005D12C6">
        <w:rPr>
          <w:sz w:val="22"/>
          <w:szCs w:val="22"/>
        </w:rPr>
        <w:t xml:space="preserve"> y </w:t>
      </w:r>
      <w:r w:rsidRPr="005D12C6">
        <w:rPr>
          <w:b/>
          <w:sz w:val="22"/>
          <w:szCs w:val="22"/>
        </w:rPr>
        <w:t>Tribunales de Enjuiciamiento</w:t>
      </w:r>
      <w:r w:rsidR="00961461" w:rsidRPr="005D12C6">
        <w:rPr>
          <w:b/>
          <w:sz w:val="22"/>
          <w:szCs w:val="22"/>
        </w:rPr>
        <w:t xml:space="preserve"> </w:t>
      </w:r>
      <w:r w:rsidR="00961461" w:rsidRPr="005D12C6">
        <w:rPr>
          <w:sz w:val="22"/>
          <w:szCs w:val="22"/>
        </w:rPr>
        <w:t>que son los</w:t>
      </w:r>
      <w:r w:rsidRPr="005D12C6">
        <w:rPr>
          <w:sz w:val="22"/>
          <w:szCs w:val="22"/>
        </w:rPr>
        <w:t xml:space="preserve"> </w:t>
      </w:r>
      <w:r w:rsidR="00961461" w:rsidRPr="005D12C6">
        <w:rPr>
          <w:sz w:val="22"/>
          <w:szCs w:val="22"/>
        </w:rPr>
        <w:t>e</w:t>
      </w:r>
      <w:r w:rsidRPr="005D12C6">
        <w:rPr>
          <w:sz w:val="22"/>
          <w:szCs w:val="22"/>
        </w:rPr>
        <w:t>ncargados de los juicios orales en materia penal.</w:t>
      </w:r>
    </w:p>
    <w:p w14:paraId="79248FD2" w14:textId="77777777" w:rsidR="00DC452F" w:rsidRPr="005D12C6" w:rsidRDefault="00DC452F" w:rsidP="00CD477C">
      <w:pPr>
        <w:spacing w:before="0" w:after="0"/>
        <w:ind w:firstLine="360"/>
        <w:rPr>
          <w:rFonts w:eastAsia="Calibri" w:cs="Times New Roman"/>
          <w:b/>
          <w:bCs/>
          <w:sz w:val="22"/>
          <w:szCs w:val="22"/>
        </w:rPr>
      </w:pPr>
    </w:p>
    <w:p w14:paraId="48BB177F" w14:textId="61E449B1" w:rsidR="00BD4F6A" w:rsidRPr="005D12C6" w:rsidRDefault="00BD4F6A" w:rsidP="00CD477C">
      <w:pPr>
        <w:spacing w:before="0" w:after="0"/>
        <w:ind w:firstLine="360"/>
        <w:rPr>
          <w:rFonts w:eastAsia="Calibri" w:cs="Times New Roman"/>
          <w:b/>
          <w:bCs/>
          <w:sz w:val="22"/>
          <w:szCs w:val="22"/>
        </w:rPr>
      </w:pPr>
      <w:r w:rsidRPr="005D12C6">
        <w:rPr>
          <w:rFonts w:eastAsia="Calibri" w:cs="Times New Roman"/>
          <w:b/>
          <w:bCs/>
          <w:sz w:val="22"/>
          <w:szCs w:val="22"/>
        </w:rPr>
        <w:t>e). Consideraciones fiscales del ente: revelar el tipo de contribuciones que esté obligado a pagar o retener.</w:t>
      </w:r>
    </w:p>
    <w:p w14:paraId="4C813230" w14:textId="77777777" w:rsidR="00BD4F6A" w:rsidRPr="005D12C6" w:rsidRDefault="00BD4F6A" w:rsidP="00CD477C">
      <w:pPr>
        <w:spacing w:before="0" w:after="0"/>
        <w:rPr>
          <w:rFonts w:eastAsia="Calibri" w:cs="Times New Roman"/>
          <w:sz w:val="22"/>
          <w:szCs w:val="22"/>
        </w:rPr>
      </w:pPr>
    </w:p>
    <w:p w14:paraId="136F271E" w14:textId="4C1EB18B"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w:t>
      </w:r>
      <w:r w:rsidR="00BE151C" w:rsidRPr="005D12C6">
        <w:rPr>
          <w:rFonts w:eastAsia="Calibri" w:cs="Times New Roman"/>
          <w:sz w:val="22"/>
          <w:szCs w:val="22"/>
        </w:rPr>
        <w:t>, Régimen Simplificado de Confianza</w:t>
      </w:r>
      <w:r w:rsidRPr="005D12C6">
        <w:rPr>
          <w:rFonts w:eastAsia="Calibri" w:cs="Times New Roman"/>
          <w:sz w:val="22"/>
          <w:szCs w:val="22"/>
        </w:rPr>
        <w:t xml:space="preserve"> e Ingresos por Arrendamiento de Bienes Inmuebles y en General por Otorgar el Uso o Goce Temporal de Bienes Inmuebles, respectivamente.</w:t>
      </w:r>
    </w:p>
    <w:p w14:paraId="2A3C6EE9" w14:textId="77777777" w:rsidR="00BD4F6A" w:rsidRPr="005D12C6" w:rsidRDefault="00BD4F6A" w:rsidP="00CD477C">
      <w:pPr>
        <w:spacing w:before="0" w:after="0"/>
        <w:ind w:left="709"/>
        <w:rPr>
          <w:rFonts w:eastAsia="Calibri" w:cs="Times New Roman"/>
          <w:sz w:val="22"/>
          <w:szCs w:val="22"/>
        </w:rPr>
      </w:pPr>
    </w:p>
    <w:p w14:paraId="6B779F48"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Pr="005D12C6" w:rsidRDefault="00BD4F6A" w:rsidP="00CD477C">
      <w:pPr>
        <w:spacing w:before="0" w:after="0"/>
        <w:rPr>
          <w:rFonts w:eastAsia="Calibri" w:cs="Times New Roman"/>
          <w:sz w:val="22"/>
          <w:szCs w:val="22"/>
        </w:rPr>
      </w:pPr>
    </w:p>
    <w:p w14:paraId="4C2F5DFF"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5D12C6">
        <w:t xml:space="preserve"> </w:t>
      </w:r>
      <w:r w:rsidRPr="005D12C6">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5035E64A" w14:textId="77777777" w:rsidR="00BD4F6A" w:rsidRPr="005D12C6" w:rsidRDefault="00BD4F6A" w:rsidP="00CD477C">
      <w:pPr>
        <w:spacing w:before="0" w:after="0"/>
        <w:rPr>
          <w:rFonts w:eastAsia="Calibri" w:cs="Times New Roman"/>
          <w:sz w:val="22"/>
          <w:szCs w:val="22"/>
        </w:rPr>
      </w:pPr>
    </w:p>
    <w:p w14:paraId="3ED078E1" w14:textId="2B0D70DB"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 xml:space="preserve">Igualmente, es sujeto de diversas contribuciones </w:t>
      </w:r>
      <w:r w:rsidR="006F54BE" w:rsidRPr="005D12C6">
        <w:rPr>
          <w:rFonts w:eastAsia="Calibri" w:cs="Times New Roman"/>
          <w:sz w:val="22"/>
          <w:szCs w:val="22"/>
        </w:rPr>
        <w:t>locales</w:t>
      </w:r>
      <w:r w:rsidRPr="005D12C6">
        <w:rPr>
          <w:rFonts w:eastAsia="Calibri" w:cs="Times New Roman"/>
          <w:sz w:val="22"/>
          <w:szCs w:val="22"/>
        </w:rPr>
        <w:t xml:space="preserve">, tales como: el Impuesto Predial por aquellos inmuebles de dominio privado y el de Adquisición de Bienes </w:t>
      </w:r>
      <w:r w:rsidR="006F54BE" w:rsidRPr="005D12C6">
        <w:rPr>
          <w:rFonts w:eastAsia="Calibri" w:cs="Times New Roman"/>
          <w:sz w:val="22"/>
          <w:szCs w:val="22"/>
        </w:rPr>
        <w:t xml:space="preserve">Inmueble </w:t>
      </w:r>
      <w:r w:rsidRPr="005D12C6">
        <w:rPr>
          <w:rFonts w:eastAsia="Calibri" w:cs="Times New Roman"/>
          <w:sz w:val="22"/>
          <w:szCs w:val="22"/>
        </w:rPr>
        <w:t>al realizar compras para su uso de dominio privado; y del Impuesto sobre Erogaciones por Remuneración al Trabajo Personal Prestado Bajo la Dirección y Dependencia de un Patrón, entre otros.</w:t>
      </w:r>
    </w:p>
    <w:p w14:paraId="5EBA1AF7" w14:textId="77777777" w:rsidR="00BD4F6A" w:rsidRPr="005D12C6" w:rsidRDefault="00BD4F6A" w:rsidP="00CD477C">
      <w:pPr>
        <w:spacing w:before="0" w:after="0"/>
        <w:ind w:firstLine="360"/>
        <w:rPr>
          <w:rFonts w:eastAsia="Calibri" w:cs="Times New Roman"/>
          <w:sz w:val="22"/>
          <w:szCs w:val="22"/>
        </w:rPr>
      </w:pPr>
    </w:p>
    <w:p w14:paraId="24A95DA8" w14:textId="77777777" w:rsidR="00BD4F6A" w:rsidRPr="005D12C6" w:rsidRDefault="00BD4F6A" w:rsidP="00CD477C">
      <w:pPr>
        <w:spacing w:before="0" w:after="0"/>
        <w:ind w:firstLine="360"/>
        <w:rPr>
          <w:rFonts w:eastAsia="Calibri" w:cs="Times New Roman"/>
          <w:b/>
          <w:bCs/>
          <w:sz w:val="22"/>
          <w:szCs w:val="22"/>
        </w:rPr>
      </w:pPr>
      <w:r w:rsidRPr="005D12C6">
        <w:rPr>
          <w:rFonts w:eastAsia="Calibri" w:cs="Times New Roman"/>
          <w:b/>
          <w:bCs/>
          <w:sz w:val="22"/>
          <w:szCs w:val="22"/>
        </w:rPr>
        <w:t>f) Estructura organizacional básica</w:t>
      </w:r>
    </w:p>
    <w:p w14:paraId="736F55C8" w14:textId="77777777" w:rsidR="00D75F85" w:rsidRPr="005D12C6" w:rsidRDefault="00D75F85" w:rsidP="00CD477C">
      <w:pPr>
        <w:spacing w:before="0" w:after="0"/>
        <w:rPr>
          <w:rFonts w:eastAsia="Calibri" w:cs="Times New Roman"/>
          <w:sz w:val="22"/>
          <w:szCs w:val="22"/>
        </w:rPr>
      </w:pPr>
    </w:p>
    <w:p w14:paraId="107ACD67" w14:textId="68FE00BE"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57023391" w:rsidR="00BD4F6A" w:rsidRPr="005D12C6" w:rsidRDefault="00BD4F6A" w:rsidP="00CD477C">
      <w:pPr>
        <w:spacing w:before="0" w:after="0"/>
        <w:rPr>
          <w:rFonts w:eastAsia="Calibri" w:cs="Times New Roman"/>
          <w:sz w:val="22"/>
          <w:szCs w:val="22"/>
        </w:rPr>
      </w:pPr>
    </w:p>
    <w:p w14:paraId="2D06BF93"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6F02C43"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 Secretaría de Gobierno;</w:t>
      </w:r>
    </w:p>
    <w:p w14:paraId="0D90D4A8" w14:textId="77777777" w:rsidR="00F14AA6" w:rsidRPr="005D12C6" w:rsidRDefault="00BD4F6A" w:rsidP="00CD477C">
      <w:pPr>
        <w:spacing w:before="0" w:after="0"/>
        <w:rPr>
          <w:rFonts w:eastAsia="Calibri" w:cs="Times New Roman"/>
          <w:sz w:val="22"/>
          <w:szCs w:val="22"/>
        </w:rPr>
      </w:pPr>
      <w:r w:rsidRPr="005D12C6">
        <w:rPr>
          <w:rFonts w:eastAsia="Calibri" w:cs="Times New Roman"/>
          <w:sz w:val="22"/>
          <w:szCs w:val="22"/>
        </w:rPr>
        <w:t>- Secretaría de Finanzas y Administración;</w:t>
      </w:r>
    </w:p>
    <w:p w14:paraId="45C091F4" w14:textId="79768AC4" w:rsidR="00F14AA6" w:rsidRPr="005D12C6" w:rsidRDefault="00F14AA6" w:rsidP="00CD477C">
      <w:pPr>
        <w:spacing w:before="0" w:after="0"/>
        <w:rPr>
          <w:rFonts w:eastAsia="Calibri" w:cs="Times New Roman"/>
          <w:sz w:val="22"/>
          <w:szCs w:val="22"/>
        </w:rPr>
      </w:pPr>
      <w:r w:rsidRPr="005D12C6">
        <w:rPr>
          <w:rFonts w:eastAsia="Calibri" w:cs="Times New Roman"/>
          <w:sz w:val="22"/>
          <w:szCs w:val="22"/>
        </w:rPr>
        <w:t>- Secretaría de Comunicaciones y Obras Públicas;</w:t>
      </w:r>
    </w:p>
    <w:p w14:paraId="3359E914" w14:textId="77777777" w:rsidR="008F6E68" w:rsidRPr="005D12C6" w:rsidRDefault="00BD4F6A" w:rsidP="00CD477C">
      <w:pPr>
        <w:spacing w:before="0" w:after="0"/>
        <w:rPr>
          <w:rFonts w:eastAsia="Calibri" w:cs="Times New Roman"/>
          <w:sz w:val="22"/>
          <w:szCs w:val="22"/>
        </w:rPr>
      </w:pPr>
      <w:r w:rsidRPr="005D12C6">
        <w:rPr>
          <w:rFonts w:eastAsia="Calibri" w:cs="Times New Roman"/>
          <w:sz w:val="22"/>
          <w:szCs w:val="22"/>
        </w:rPr>
        <w:t xml:space="preserve">- </w:t>
      </w:r>
      <w:r w:rsidR="008F6E68" w:rsidRPr="005D12C6">
        <w:rPr>
          <w:rFonts w:eastAsia="Calibri" w:cs="Times New Roman"/>
          <w:sz w:val="22"/>
          <w:szCs w:val="22"/>
        </w:rPr>
        <w:t>Secretaría de Agricultura y Desarrollo Rural;</w:t>
      </w:r>
    </w:p>
    <w:p w14:paraId="5C711263" w14:textId="77777777" w:rsidR="008F6E68" w:rsidRPr="005D12C6" w:rsidRDefault="008F6E68" w:rsidP="00CD477C">
      <w:pPr>
        <w:spacing w:before="0" w:after="0"/>
        <w:rPr>
          <w:rFonts w:eastAsia="Calibri" w:cs="Times New Roman"/>
          <w:sz w:val="22"/>
          <w:szCs w:val="22"/>
        </w:rPr>
      </w:pPr>
      <w:r w:rsidRPr="005D12C6">
        <w:rPr>
          <w:rFonts w:eastAsia="Calibri" w:cs="Times New Roman"/>
          <w:sz w:val="22"/>
          <w:szCs w:val="22"/>
        </w:rPr>
        <w:t>- Secretaría de Desarrollo Económico;</w:t>
      </w:r>
    </w:p>
    <w:p w14:paraId="038DEE1A" w14:textId="2D652B93" w:rsidR="008F6E68" w:rsidRPr="005D12C6" w:rsidRDefault="008F6E68" w:rsidP="00CD477C">
      <w:pPr>
        <w:spacing w:before="0" w:after="0"/>
        <w:rPr>
          <w:rFonts w:eastAsia="Calibri" w:cs="Times New Roman"/>
          <w:sz w:val="22"/>
          <w:szCs w:val="22"/>
        </w:rPr>
      </w:pPr>
      <w:r w:rsidRPr="005D12C6">
        <w:rPr>
          <w:rFonts w:eastAsia="Calibri" w:cs="Times New Roman"/>
          <w:sz w:val="22"/>
          <w:szCs w:val="22"/>
        </w:rPr>
        <w:t>- Secretaría de Turismo;</w:t>
      </w:r>
    </w:p>
    <w:p w14:paraId="5FA69F2B" w14:textId="77777777" w:rsidR="008F6E68" w:rsidRPr="005D12C6" w:rsidRDefault="008F6E68" w:rsidP="00CD477C">
      <w:pPr>
        <w:spacing w:before="0" w:after="0"/>
        <w:rPr>
          <w:rFonts w:eastAsia="Calibri" w:cs="Times New Roman"/>
          <w:sz w:val="22"/>
          <w:szCs w:val="22"/>
        </w:rPr>
      </w:pPr>
      <w:r w:rsidRPr="005D12C6">
        <w:rPr>
          <w:rFonts w:eastAsia="Calibri" w:cs="Times New Roman"/>
          <w:sz w:val="22"/>
          <w:szCs w:val="22"/>
        </w:rPr>
        <w:t>- Secretaría de Educación;</w:t>
      </w:r>
    </w:p>
    <w:p w14:paraId="63187014" w14:textId="77777777" w:rsidR="008F6E68" w:rsidRPr="005D12C6" w:rsidRDefault="008F6E68" w:rsidP="00CD477C">
      <w:pPr>
        <w:spacing w:before="0" w:after="0"/>
        <w:rPr>
          <w:rFonts w:eastAsia="Calibri" w:cs="Times New Roman"/>
          <w:sz w:val="22"/>
          <w:szCs w:val="22"/>
        </w:rPr>
      </w:pPr>
      <w:r w:rsidRPr="005D12C6">
        <w:rPr>
          <w:rFonts w:eastAsia="Calibri" w:cs="Times New Roman"/>
          <w:sz w:val="22"/>
          <w:szCs w:val="22"/>
        </w:rPr>
        <w:t>- Secretaría del Migrante;</w:t>
      </w:r>
    </w:p>
    <w:p w14:paraId="7C02783E" w14:textId="77777777" w:rsidR="00C0779F" w:rsidRPr="005D12C6" w:rsidRDefault="00C0779F" w:rsidP="00CD477C">
      <w:pPr>
        <w:spacing w:before="0" w:after="0"/>
        <w:rPr>
          <w:rFonts w:eastAsia="Calibri" w:cs="Times New Roman"/>
          <w:sz w:val="22"/>
          <w:szCs w:val="22"/>
        </w:rPr>
      </w:pPr>
      <w:r w:rsidRPr="005D12C6">
        <w:rPr>
          <w:rFonts w:eastAsia="Calibri" w:cs="Times New Roman"/>
          <w:sz w:val="22"/>
          <w:szCs w:val="22"/>
        </w:rPr>
        <w:t>- Secretaría de Seguridad Pública;</w:t>
      </w:r>
    </w:p>
    <w:p w14:paraId="13F047FF" w14:textId="45E54525" w:rsidR="00D13547" w:rsidRPr="005D12C6" w:rsidRDefault="00D13547" w:rsidP="00CD477C">
      <w:pPr>
        <w:spacing w:before="0" w:after="0"/>
        <w:rPr>
          <w:rFonts w:eastAsia="Calibri" w:cs="Times New Roman"/>
          <w:sz w:val="22"/>
          <w:szCs w:val="22"/>
        </w:rPr>
      </w:pPr>
      <w:r w:rsidRPr="005D12C6">
        <w:rPr>
          <w:rFonts w:eastAsia="Calibri" w:cs="Times New Roman"/>
          <w:sz w:val="22"/>
          <w:szCs w:val="22"/>
        </w:rPr>
        <w:t>- Secretaría de Salud;</w:t>
      </w:r>
    </w:p>
    <w:p w14:paraId="63198AB0" w14:textId="2145F5B8" w:rsidR="00BD4F6A" w:rsidRPr="005D12C6" w:rsidRDefault="008F6E68" w:rsidP="00CD477C">
      <w:pPr>
        <w:spacing w:before="0" w:after="0"/>
        <w:rPr>
          <w:rFonts w:eastAsia="Calibri" w:cs="Times New Roman"/>
          <w:sz w:val="22"/>
          <w:szCs w:val="22"/>
        </w:rPr>
      </w:pPr>
      <w:r w:rsidRPr="005D12C6">
        <w:rPr>
          <w:rFonts w:eastAsia="Calibri" w:cs="Times New Roman"/>
          <w:sz w:val="22"/>
          <w:szCs w:val="22"/>
        </w:rPr>
        <w:t xml:space="preserve">- </w:t>
      </w:r>
      <w:r w:rsidR="00BD4F6A" w:rsidRPr="005D12C6">
        <w:rPr>
          <w:rFonts w:eastAsia="Calibri" w:cs="Times New Roman"/>
          <w:sz w:val="22"/>
          <w:szCs w:val="22"/>
        </w:rPr>
        <w:t>Secretaría de Contraloría;</w:t>
      </w:r>
    </w:p>
    <w:p w14:paraId="65EA7FBD" w14:textId="3120CE3E" w:rsidR="00BD4F6A" w:rsidRPr="005D12C6" w:rsidRDefault="00C0779F" w:rsidP="00CD477C">
      <w:pPr>
        <w:spacing w:before="0" w:after="0"/>
        <w:rPr>
          <w:rFonts w:eastAsia="Calibri" w:cs="Times New Roman"/>
          <w:sz w:val="22"/>
          <w:szCs w:val="22"/>
        </w:rPr>
      </w:pPr>
      <w:r w:rsidRPr="005D12C6">
        <w:rPr>
          <w:rFonts w:eastAsia="Calibri" w:cs="Times New Roman"/>
          <w:sz w:val="22"/>
          <w:szCs w:val="22"/>
        </w:rPr>
        <w:lastRenderedPageBreak/>
        <w:t>- Secretaría del Bienestar;</w:t>
      </w:r>
    </w:p>
    <w:p w14:paraId="226B3873" w14:textId="77777777" w:rsidR="00C0779F" w:rsidRPr="005D12C6" w:rsidRDefault="00C0779F" w:rsidP="00CD477C">
      <w:pPr>
        <w:spacing w:before="0" w:after="0"/>
        <w:rPr>
          <w:rFonts w:eastAsia="Calibri" w:cs="Times New Roman"/>
          <w:sz w:val="22"/>
          <w:szCs w:val="22"/>
        </w:rPr>
      </w:pPr>
      <w:r w:rsidRPr="005D12C6">
        <w:rPr>
          <w:rFonts w:eastAsia="Calibri" w:cs="Times New Roman"/>
          <w:sz w:val="22"/>
          <w:szCs w:val="22"/>
        </w:rPr>
        <w:t>- Secretaría de Cultura;</w:t>
      </w:r>
    </w:p>
    <w:p w14:paraId="434D8827" w14:textId="77777777" w:rsidR="00C0779F" w:rsidRPr="005D12C6" w:rsidRDefault="00C0779F" w:rsidP="00CD477C">
      <w:pPr>
        <w:spacing w:before="0" w:after="0"/>
        <w:rPr>
          <w:rFonts w:eastAsia="Calibri" w:cs="Times New Roman"/>
          <w:sz w:val="22"/>
          <w:szCs w:val="22"/>
        </w:rPr>
      </w:pPr>
      <w:r w:rsidRPr="005D12C6">
        <w:rPr>
          <w:rFonts w:eastAsia="Calibri" w:cs="Times New Roman"/>
          <w:sz w:val="22"/>
          <w:szCs w:val="22"/>
        </w:rPr>
        <w:t>- Secretaría de Igualdad Sustantiva y Desarrollo de las Mujeres Michoacanas.</w:t>
      </w:r>
    </w:p>
    <w:p w14:paraId="553C535D" w14:textId="76EBF60B" w:rsidR="001929A9" w:rsidRPr="005D12C6" w:rsidRDefault="001929A9" w:rsidP="001929A9">
      <w:pPr>
        <w:spacing w:before="0" w:after="0"/>
        <w:rPr>
          <w:rFonts w:eastAsia="Calibri" w:cs="Times New Roman"/>
          <w:sz w:val="22"/>
          <w:szCs w:val="22"/>
        </w:rPr>
      </w:pPr>
      <w:r w:rsidRPr="005D12C6">
        <w:rPr>
          <w:rFonts w:eastAsia="Calibri" w:cs="Times New Roman"/>
          <w:sz w:val="22"/>
          <w:szCs w:val="22"/>
        </w:rPr>
        <w:t>- Secretaría de Desarrollo Urbano y Movilidad;</w:t>
      </w:r>
      <w:r w:rsidR="000E23AD" w:rsidRPr="005D12C6">
        <w:rPr>
          <w:rFonts w:eastAsia="Calibri" w:cs="Times New Roman"/>
          <w:sz w:val="22"/>
          <w:szCs w:val="22"/>
        </w:rPr>
        <w:t xml:space="preserve"> </w:t>
      </w:r>
      <w:r w:rsidR="00D13547" w:rsidRPr="005D12C6">
        <w:rPr>
          <w:rFonts w:eastAsia="Calibri" w:cs="Times New Roman"/>
          <w:sz w:val="22"/>
          <w:szCs w:val="22"/>
        </w:rPr>
        <w:t>y</w:t>
      </w:r>
      <w:r w:rsidR="000E23AD" w:rsidRPr="005D12C6">
        <w:rPr>
          <w:rFonts w:eastAsia="Calibri" w:cs="Times New Roman"/>
          <w:sz w:val="22"/>
          <w:szCs w:val="22"/>
        </w:rPr>
        <w:t>,</w:t>
      </w:r>
    </w:p>
    <w:p w14:paraId="7A80E7AD" w14:textId="77777777" w:rsidR="001929A9" w:rsidRPr="005D12C6" w:rsidRDefault="001929A9" w:rsidP="001929A9">
      <w:pPr>
        <w:spacing w:before="0" w:after="0"/>
        <w:rPr>
          <w:rFonts w:eastAsia="Calibri" w:cs="Times New Roman"/>
          <w:sz w:val="22"/>
          <w:szCs w:val="22"/>
        </w:rPr>
      </w:pPr>
      <w:r w:rsidRPr="005D12C6">
        <w:rPr>
          <w:rFonts w:eastAsia="Calibri" w:cs="Times New Roman"/>
          <w:sz w:val="22"/>
          <w:szCs w:val="22"/>
        </w:rPr>
        <w:t>- Secretaría del Medio Ambiente;</w:t>
      </w:r>
    </w:p>
    <w:p w14:paraId="7C8DF039" w14:textId="77777777" w:rsidR="003E2C2C" w:rsidRPr="005D12C6" w:rsidRDefault="003E2C2C" w:rsidP="00CD477C">
      <w:pPr>
        <w:spacing w:before="0" w:after="0"/>
        <w:rPr>
          <w:rFonts w:eastAsia="Calibri" w:cs="Times New Roman"/>
          <w:sz w:val="22"/>
          <w:szCs w:val="22"/>
        </w:rPr>
      </w:pPr>
    </w:p>
    <w:p w14:paraId="384094AF" w14:textId="150A76B1"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 xml:space="preserve">Cada una de estas </w:t>
      </w:r>
      <w:r w:rsidR="000E23AD" w:rsidRPr="005D12C6">
        <w:rPr>
          <w:rFonts w:eastAsia="Calibri" w:cs="Times New Roman"/>
          <w:sz w:val="22"/>
          <w:szCs w:val="22"/>
        </w:rPr>
        <w:t xml:space="preserve">Dependencias </w:t>
      </w:r>
      <w:r w:rsidR="003E2C2C" w:rsidRPr="005D12C6">
        <w:rPr>
          <w:rFonts w:eastAsia="Calibri" w:cs="Times New Roman"/>
          <w:sz w:val="22"/>
          <w:szCs w:val="22"/>
        </w:rPr>
        <w:t>está organizada</w:t>
      </w:r>
      <w:r w:rsidRPr="005D12C6">
        <w:rPr>
          <w:rFonts w:eastAsia="Calibri" w:cs="Times New Roman"/>
          <w:sz w:val="22"/>
          <w:szCs w:val="22"/>
        </w:rPr>
        <w:t xml:space="preserve"> de tal forma que permitan el correcto funcionamiento de la Administración Pública Estatal.</w:t>
      </w:r>
    </w:p>
    <w:p w14:paraId="7981E3C5" w14:textId="77777777" w:rsidR="00E072C4" w:rsidRPr="005D12C6" w:rsidRDefault="00E072C4" w:rsidP="00CD477C">
      <w:pPr>
        <w:spacing w:before="0" w:after="0"/>
        <w:rPr>
          <w:rFonts w:eastAsia="Calibri" w:cs="Times New Roman"/>
          <w:sz w:val="22"/>
          <w:szCs w:val="22"/>
        </w:rPr>
      </w:pPr>
    </w:p>
    <w:p w14:paraId="0A0A4452" w14:textId="3285CFD7" w:rsidR="00BD4F6A" w:rsidRPr="005D12C6" w:rsidRDefault="009E47B0" w:rsidP="00A07C27">
      <w:pPr>
        <w:spacing w:before="0" w:after="0"/>
        <w:rPr>
          <w:rFonts w:eastAsia="Calibri" w:cs="Times New Roman"/>
          <w:b/>
          <w:bCs/>
          <w:sz w:val="22"/>
          <w:szCs w:val="22"/>
        </w:rPr>
      </w:pPr>
      <w:r w:rsidRPr="005D12C6">
        <w:rPr>
          <w:rFonts w:eastAsia="Calibri" w:cs="Times New Roman"/>
          <w:sz w:val="22"/>
          <w:szCs w:val="22"/>
        </w:rPr>
        <w:t xml:space="preserve"> </w:t>
      </w:r>
      <w:r w:rsidR="00BD4F6A" w:rsidRPr="005D12C6">
        <w:rPr>
          <w:rFonts w:eastAsia="Calibri" w:cs="Times New Roman"/>
          <w:b/>
          <w:bCs/>
          <w:sz w:val="22"/>
          <w:szCs w:val="22"/>
        </w:rPr>
        <w:t>g) Fideicomisos, mandatos y análogos de los cuales es fideicomisario.</w:t>
      </w:r>
    </w:p>
    <w:p w14:paraId="46EBAFEA"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Los fideicomisos, mandatos y análogos de los cuales el Gobierno del Estado de Michoacán es fideicomisario, se detallan en el punto 6 de las Notas de desglose.</w:t>
      </w:r>
    </w:p>
    <w:p w14:paraId="5BD978A7" w14:textId="1CADA602" w:rsidR="00C24CC7" w:rsidRPr="005D12C6" w:rsidRDefault="00C24CC7" w:rsidP="00CD477C">
      <w:pPr>
        <w:spacing w:before="0" w:after="0"/>
        <w:rPr>
          <w:rFonts w:eastAsia="Calibri" w:cs="Times New Roman"/>
          <w:b/>
          <w:sz w:val="22"/>
          <w:szCs w:val="22"/>
        </w:rPr>
      </w:pPr>
    </w:p>
    <w:p w14:paraId="5B8A7D3B" w14:textId="15F940A4" w:rsidR="00BD4F6A" w:rsidRPr="005D12C6" w:rsidRDefault="00545D07" w:rsidP="00CD477C">
      <w:pPr>
        <w:spacing w:before="0" w:after="0"/>
        <w:rPr>
          <w:rFonts w:eastAsia="Calibri" w:cs="Times New Roman"/>
          <w:b/>
          <w:sz w:val="22"/>
          <w:szCs w:val="22"/>
        </w:rPr>
      </w:pPr>
      <w:r w:rsidRPr="005D12C6">
        <w:rPr>
          <w:rFonts w:eastAsia="Calibri" w:cs="Times New Roman"/>
          <w:b/>
          <w:sz w:val="22"/>
          <w:szCs w:val="22"/>
        </w:rPr>
        <w:t>4</w:t>
      </w:r>
      <w:r w:rsidR="00BD4F6A" w:rsidRPr="005D12C6">
        <w:rPr>
          <w:rFonts w:eastAsia="Calibri" w:cs="Times New Roman"/>
          <w:b/>
          <w:sz w:val="22"/>
          <w:szCs w:val="22"/>
        </w:rPr>
        <w:t>.</w:t>
      </w:r>
      <w:r w:rsidR="00BD4F6A" w:rsidRPr="005D12C6">
        <w:rPr>
          <w:rFonts w:eastAsia="Calibri" w:cs="Times New Roman"/>
          <w:b/>
          <w:sz w:val="22"/>
          <w:szCs w:val="22"/>
        </w:rPr>
        <w:tab/>
        <w:t>Bases de Preparación de los Estados Financieros.</w:t>
      </w:r>
    </w:p>
    <w:p w14:paraId="6AF32E47" w14:textId="77777777" w:rsidR="00BD4F6A" w:rsidRPr="005D12C6" w:rsidRDefault="00BD4F6A" w:rsidP="00CD477C">
      <w:pPr>
        <w:spacing w:before="0" w:after="0"/>
        <w:rPr>
          <w:rFonts w:ascii="GalanoGrotesque-ExtraLight" w:eastAsia="Calibri" w:hAnsi="GalanoGrotesque-ExtraLight" w:cs="Times New Roman"/>
          <w:b/>
          <w:sz w:val="22"/>
          <w:szCs w:val="22"/>
        </w:rPr>
      </w:pPr>
    </w:p>
    <w:p w14:paraId="0E433E93" w14:textId="669639F8" w:rsidR="00BD4F6A" w:rsidRPr="005D12C6" w:rsidRDefault="00DD6C98" w:rsidP="00CD477C">
      <w:pPr>
        <w:spacing w:before="0" w:after="0"/>
        <w:ind w:left="720"/>
        <w:rPr>
          <w:rFonts w:eastAsia="Calibri" w:cs="Times New Roman"/>
          <w:b/>
          <w:sz w:val="22"/>
          <w:szCs w:val="22"/>
        </w:rPr>
      </w:pPr>
      <w:r w:rsidRPr="005D12C6">
        <w:rPr>
          <w:rFonts w:eastAsia="Calibri" w:cs="Times New Roman"/>
          <w:b/>
          <w:sz w:val="22"/>
          <w:szCs w:val="22"/>
        </w:rPr>
        <w:t>a)</w:t>
      </w:r>
      <w:r w:rsidR="00BD4F6A" w:rsidRPr="005D12C6">
        <w:rPr>
          <w:rFonts w:eastAsia="Calibri" w:cs="Times New Roman"/>
          <w:b/>
          <w:sz w:val="22"/>
          <w:szCs w:val="22"/>
        </w:rPr>
        <w:t xml:space="preserve"> Si se ha observado la normatividad emitida por el CONAC y las disposiciones legales aplicables.</w:t>
      </w:r>
    </w:p>
    <w:p w14:paraId="44C44CB7"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5D12C6">
        <w:rPr>
          <w:rFonts w:eastAsia="Calibri" w:cs="Times New Roman"/>
          <w:color w:val="C00000"/>
          <w:sz w:val="22"/>
          <w:szCs w:val="22"/>
        </w:rPr>
        <w:t xml:space="preserve"> </w:t>
      </w:r>
      <w:r w:rsidRPr="005D12C6">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5D12C6" w:rsidRDefault="00BD4F6A" w:rsidP="00CD477C">
      <w:pPr>
        <w:spacing w:before="0" w:after="0"/>
        <w:rPr>
          <w:rFonts w:eastAsia="Calibri" w:cs="Times New Roman"/>
          <w:sz w:val="22"/>
          <w:szCs w:val="22"/>
        </w:rPr>
      </w:pPr>
    </w:p>
    <w:p w14:paraId="1425F543"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12C6">
        <w:rPr>
          <w:rFonts w:eastAsia="Times New Roman" w:cs="Times New Roman"/>
          <w:sz w:val="22"/>
          <w:szCs w:val="22"/>
          <w:lang w:val="en-US" w:eastAsia="es-MX"/>
        </w:rPr>
        <w:t>Marco Conceptual</w:t>
      </w:r>
    </w:p>
    <w:p w14:paraId="0F3EC809"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12C6">
        <w:rPr>
          <w:rFonts w:eastAsia="Times New Roman" w:cs="Times New Roman"/>
          <w:sz w:val="22"/>
          <w:szCs w:val="22"/>
          <w:lang w:eastAsia="es-MX"/>
        </w:rPr>
        <w:t xml:space="preserve">Postulados Básicos de </w:t>
      </w:r>
      <w:proofErr w:type="spellStart"/>
      <w:r w:rsidRPr="005D12C6">
        <w:rPr>
          <w:rFonts w:eastAsia="Times New Roman" w:cs="Times New Roman"/>
          <w:sz w:val="22"/>
          <w:szCs w:val="22"/>
          <w:lang w:val="en-US" w:eastAsia="es-MX"/>
        </w:rPr>
        <w:t>Contabilidad</w:t>
      </w:r>
      <w:proofErr w:type="spellEnd"/>
      <w:r w:rsidRPr="005D12C6">
        <w:rPr>
          <w:rFonts w:eastAsia="Times New Roman" w:cs="Times New Roman"/>
          <w:sz w:val="22"/>
          <w:szCs w:val="22"/>
          <w:lang w:eastAsia="es-MX"/>
        </w:rPr>
        <w:t xml:space="preserve"> Gubernamental</w:t>
      </w:r>
    </w:p>
    <w:p w14:paraId="768CB9B0"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5D12C6">
        <w:rPr>
          <w:rFonts w:eastAsia="Times New Roman" w:cs="Times New Roman"/>
          <w:sz w:val="22"/>
          <w:szCs w:val="22"/>
          <w:lang w:val="en-US" w:eastAsia="es-MX"/>
        </w:rPr>
        <w:t>Clasificador</w:t>
      </w:r>
      <w:proofErr w:type="spellEnd"/>
      <w:r w:rsidRPr="005D12C6">
        <w:rPr>
          <w:rFonts w:eastAsia="Times New Roman" w:cs="Times New Roman"/>
          <w:sz w:val="22"/>
          <w:szCs w:val="22"/>
          <w:lang w:eastAsia="es-MX"/>
        </w:rPr>
        <w:t xml:space="preserve"> por Objeto del Gasto</w:t>
      </w:r>
    </w:p>
    <w:p w14:paraId="0FBC8C87"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12C6">
        <w:rPr>
          <w:rFonts w:eastAsia="Times New Roman" w:cs="Times New Roman"/>
          <w:sz w:val="22"/>
          <w:szCs w:val="22"/>
          <w:lang w:eastAsia="es-MX"/>
        </w:rPr>
        <w:t>Clasificador por Tipo de Gasto</w:t>
      </w:r>
    </w:p>
    <w:p w14:paraId="4F67C69F"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12C6">
        <w:rPr>
          <w:rFonts w:eastAsia="Times New Roman" w:cs="Times New Roman"/>
          <w:sz w:val="22"/>
          <w:szCs w:val="22"/>
          <w:lang w:eastAsia="es-MX"/>
        </w:rPr>
        <w:t>Clasificador por Rubros de Ingresos</w:t>
      </w:r>
    </w:p>
    <w:p w14:paraId="5B3BA8B6"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12C6">
        <w:rPr>
          <w:rFonts w:eastAsia="Times New Roman" w:cs="Times New Roman"/>
          <w:sz w:val="22"/>
          <w:szCs w:val="22"/>
          <w:lang w:val="en-US" w:eastAsia="es-MX"/>
        </w:rPr>
        <w:t>Plan de</w:t>
      </w:r>
      <w:r w:rsidRPr="005D12C6">
        <w:rPr>
          <w:rFonts w:eastAsia="Times New Roman" w:cs="Times New Roman"/>
          <w:sz w:val="22"/>
          <w:szCs w:val="22"/>
          <w:lang w:eastAsia="es-MX"/>
        </w:rPr>
        <w:t xml:space="preserve"> Cuentas</w:t>
      </w:r>
      <w:r w:rsidRPr="005D12C6">
        <w:rPr>
          <w:rFonts w:eastAsia="Times New Roman" w:cs="Times New Roman"/>
          <w:sz w:val="22"/>
          <w:szCs w:val="22"/>
          <w:lang w:val="en-US" w:eastAsia="es-MX"/>
        </w:rPr>
        <w:t xml:space="preserve"> de </w:t>
      </w:r>
      <w:r w:rsidRPr="005D12C6">
        <w:rPr>
          <w:rFonts w:eastAsia="Times New Roman" w:cs="Times New Roman"/>
          <w:sz w:val="22"/>
          <w:szCs w:val="22"/>
          <w:lang w:eastAsia="es-MX"/>
        </w:rPr>
        <w:t>Contabilidad</w:t>
      </w:r>
    </w:p>
    <w:p w14:paraId="1AC43DFD"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5D12C6">
        <w:rPr>
          <w:rFonts w:eastAsia="Times New Roman" w:cs="Times New Roman"/>
          <w:sz w:val="22"/>
          <w:szCs w:val="22"/>
          <w:lang w:eastAsia="es-MX"/>
        </w:rPr>
        <w:t>Momentos Contables de los Egresos</w:t>
      </w:r>
    </w:p>
    <w:p w14:paraId="758ACDA7"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5D12C6">
        <w:rPr>
          <w:rFonts w:eastAsia="Times New Roman" w:cs="Times New Roman"/>
          <w:sz w:val="22"/>
          <w:szCs w:val="22"/>
          <w:lang w:val="en-US" w:eastAsia="es-MX"/>
        </w:rPr>
        <w:t>Momentos</w:t>
      </w:r>
      <w:proofErr w:type="spellEnd"/>
      <w:r w:rsidRPr="005D12C6">
        <w:rPr>
          <w:rFonts w:eastAsia="Times New Roman" w:cs="Times New Roman"/>
          <w:sz w:val="22"/>
          <w:szCs w:val="22"/>
          <w:lang w:val="en-US" w:eastAsia="es-MX"/>
        </w:rPr>
        <w:t xml:space="preserve"> </w:t>
      </w:r>
      <w:proofErr w:type="spellStart"/>
      <w:r w:rsidRPr="005D12C6">
        <w:rPr>
          <w:rFonts w:eastAsia="Times New Roman" w:cs="Times New Roman"/>
          <w:sz w:val="22"/>
          <w:szCs w:val="22"/>
          <w:lang w:val="en-US" w:eastAsia="es-MX"/>
        </w:rPr>
        <w:t>Contables</w:t>
      </w:r>
      <w:proofErr w:type="spellEnd"/>
      <w:r w:rsidRPr="005D12C6">
        <w:rPr>
          <w:rFonts w:eastAsia="Times New Roman" w:cs="Times New Roman"/>
          <w:sz w:val="22"/>
          <w:szCs w:val="22"/>
          <w:lang w:val="en-US" w:eastAsia="es-MX"/>
        </w:rPr>
        <w:t xml:space="preserve"> de </w:t>
      </w:r>
      <w:proofErr w:type="spellStart"/>
      <w:r w:rsidRPr="005D12C6">
        <w:rPr>
          <w:rFonts w:eastAsia="Times New Roman" w:cs="Times New Roman"/>
          <w:sz w:val="22"/>
          <w:szCs w:val="22"/>
          <w:lang w:val="en-US" w:eastAsia="es-MX"/>
        </w:rPr>
        <w:t>los</w:t>
      </w:r>
      <w:proofErr w:type="spellEnd"/>
      <w:r w:rsidRPr="005D12C6">
        <w:rPr>
          <w:rFonts w:eastAsia="Times New Roman" w:cs="Times New Roman"/>
          <w:sz w:val="22"/>
          <w:szCs w:val="22"/>
          <w:lang w:val="en-US" w:eastAsia="es-MX"/>
        </w:rPr>
        <w:t xml:space="preserve"> </w:t>
      </w:r>
      <w:proofErr w:type="spellStart"/>
      <w:r w:rsidRPr="005D12C6">
        <w:rPr>
          <w:rFonts w:eastAsia="Times New Roman" w:cs="Times New Roman"/>
          <w:sz w:val="22"/>
          <w:szCs w:val="22"/>
          <w:lang w:val="en-US" w:eastAsia="es-MX"/>
        </w:rPr>
        <w:t>Ingresos</w:t>
      </w:r>
      <w:proofErr w:type="spellEnd"/>
    </w:p>
    <w:p w14:paraId="69006917" w14:textId="77777777" w:rsidR="00BD4F6A" w:rsidRPr="005D12C6"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5D12C6">
        <w:rPr>
          <w:rFonts w:eastAsia="Times New Roman" w:cs="Times New Roman"/>
          <w:sz w:val="22"/>
          <w:szCs w:val="22"/>
          <w:lang w:val="en-US" w:eastAsia="es-MX"/>
        </w:rPr>
        <w:t xml:space="preserve">Manual de </w:t>
      </w:r>
      <w:proofErr w:type="spellStart"/>
      <w:r w:rsidRPr="005D12C6">
        <w:rPr>
          <w:rFonts w:eastAsia="Times New Roman" w:cs="Times New Roman"/>
          <w:sz w:val="22"/>
          <w:szCs w:val="22"/>
          <w:lang w:val="en-US" w:eastAsia="es-MX"/>
        </w:rPr>
        <w:t>Contabilidad</w:t>
      </w:r>
      <w:proofErr w:type="spellEnd"/>
      <w:r w:rsidRPr="005D12C6">
        <w:rPr>
          <w:rFonts w:eastAsia="Times New Roman" w:cs="Times New Roman"/>
          <w:sz w:val="22"/>
          <w:szCs w:val="22"/>
          <w:lang w:val="en-US" w:eastAsia="es-MX"/>
        </w:rPr>
        <w:t xml:space="preserve"> </w:t>
      </w:r>
      <w:proofErr w:type="spellStart"/>
      <w:r w:rsidRPr="005D12C6">
        <w:rPr>
          <w:rFonts w:eastAsia="Times New Roman" w:cs="Times New Roman"/>
          <w:sz w:val="22"/>
          <w:szCs w:val="22"/>
          <w:lang w:val="en-US" w:eastAsia="es-MX"/>
        </w:rPr>
        <w:t>Gubernamental</w:t>
      </w:r>
      <w:proofErr w:type="spellEnd"/>
    </w:p>
    <w:p w14:paraId="4FCC8713" w14:textId="77777777" w:rsidR="00BD4F6A" w:rsidRPr="005D12C6" w:rsidRDefault="00BD4F6A" w:rsidP="00CD477C">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5D12C6" w:rsidRDefault="00BD4F6A" w:rsidP="00CD477C">
      <w:pPr>
        <w:tabs>
          <w:tab w:val="left" w:pos="709"/>
        </w:tabs>
        <w:spacing w:before="0" w:after="0"/>
        <w:rPr>
          <w:rFonts w:eastAsia="Calibri" w:cs="Times New Roman"/>
          <w:sz w:val="22"/>
          <w:szCs w:val="22"/>
        </w:rPr>
      </w:pPr>
      <w:r w:rsidRPr="005D12C6">
        <w:rPr>
          <w:rFonts w:eastAsia="Calibri" w:cs="Times New Roman"/>
          <w:sz w:val="22"/>
          <w:szCs w:val="22"/>
        </w:rPr>
        <w:lastRenderedPageBreak/>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w:t>
      </w:r>
      <w:r w:rsidR="00783C87" w:rsidRPr="005D12C6">
        <w:rPr>
          <w:rFonts w:eastAsia="Calibri" w:cs="Times New Roman"/>
          <w:sz w:val="22"/>
          <w:szCs w:val="22"/>
        </w:rPr>
        <w:t>C</w:t>
      </w:r>
      <w:r w:rsidRPr="005D12C6">
        <w:rPr>
          <w:rFonts w:eastAsia="Calibri" w:cs="Times New Roman"/>
          <w:sz w:val="22"/>
          <w:szCs w:val="22"/>
        </w:rPr>
        <w:t xml:space="preserve">uenta </w:t>
      </w:r>
      <w:r w:rsidR="00783C87" w:rsidRPr="005D12C6">
        <w:rPr>
          <w:rFonts w:eastAsia="Calibri" w:cs="Times New Roman"/>
          <w:sz w:val="22"/>
          <w:szCs w:val="22"/>
        </w:rPr>
        <w:t>P</w:t>
      </w:r>
      <w:r w:rsidRPr="005D12C6">
        <w:rPr>
          <w:rFonts w:eastAsia="Calibri" w:cs="Times New Roman"/>
          <w:sz w:val="22"/>
          <w:szCs w:val="22"/>
        </w:rPr>
        <w:t xml:space="preserve">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238A1F35" w14:textId="2FEF69BB" w:rsidR="00BD4F6A" w:rsidRPr="005D12C6" w:rsidRDefault="00BD4F6A" w:rsidP="00CD477C">
      <w:pPr>
        <w:tabs>
          <w:tab w:val="left" w:pos="709"/>
        </w:tabs>
        <w:spacing w:before="0" w:after="0"/>
        <w:rPr>
          <w:rFonts w:eastAsia="Calibri" w:cs="Times New Roman"/>
          <w:sz w:val="22"/>
          <w:szCs w:val="22"/>
        </w:rPr>
      </w:pPr>
    </w:p>
    <w:p w14:paraId="04DBFCDD" w14:textId="171C78AF" w:rsidR="00BD4F6A" w:rsidRPr="005D12C6" w:rsidRDefault="004C47F3" w:rsidP="00CD477C">
      <w:pPr>
        <w:tabs>
          <w:tab w:val="left" w:pos="709"/>
        </w:tabs>
        <w:spacing w:before="0" w:after="0"/>
        <w:rPr>
          <w:rFonts w:eastAsia="Calibri" w:cs="Times New Roman"/>
          <w:sz w:val="22"/>
          <w:szCs w:val="22"/>
        </w:rPr>
      </w:pPr>
      <w:r w:rsidRPr="005D12C6">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06805E24" w14:textId="77777777" w:rsidR="00BD4F6A" w:rsidRPr="005D12C6" w:rsidRDefault="00BD4F6A" w:rsidP="00CD477C">
      <w:pPr>
        <w:spacing w:before="0" w:after="0"/>
        <w:rPr>
          <w:rFonts w:eastAsia="Calibri" w:cs="Times New Roman"/>
          <w:b/>
          <w:sz w:val="22"/>
          <w:szCs w:val="22"/>
        </w:rPr>
      </w:pPr>
    </w:p>
    <w:p w14:paraId="05A832DE" w14:textId="77777777" w:rsidR="00BD4F6A" w:rsidRPr="005D12C6" w:rsidRDefault="00BD4F6A" w:rsidP="00CD477C">
      <w:pPr>
        <w:spacing w:before="0" w:after="0"/>
        <w:ind w:left="720"/>
        <w:rPr>
          <w:rFonts w:eastAsia="Calibri" w:cs="Times New Roman"/>
          <w:b/>
          <w:sz w:val="22"/>
          <w:szCs w:val="22"/>
        </w:rPr>
      </w:pPr>
      <w:r w:rsidRPr="005D12C6">
        <w:rPr>
          <w:rFonts w:eastAsia="Calibri" w:cs="Times New Roman"/>
          <w:b/>
          <w:sz w:val="22"/>
          <w:szCs w:val="22"/>
        </w:rPr>
        <w:t>b)  Normatividad.</w:t>
      </w:r>
    </w:p>
    <w:p w14:paraId="20B4336F" w14:textId="77777777" w:rsidR="00BD4F6A" w:rsidRPr="005D12C6" w:rsidRDefault="00BD4F6A" w:rsidP="00CD477C">
      <w:pPr>
        <w:spacing w:before="0" w:after="0"/>
        <w:rPr>
          <w:rFonts w:eastAsia="Calibri" w:cs="Times New Roman"/>
          <w:sz w:val="22"/>
          <w:szCs w:val="22"/>
        </w:rPr>
      </w:pPr>
    </w:p>
    <w:p w14:paraId="3C25F96C" w14:textId="68B2227F"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sidR="00DD6C98" w:rsidRPr="005D12C6">
        <w:rPr>
          <w:rFonts w:eastAsia="Calibri" w:cs="Times New Roman"/>
          <w:sz w:val="22"/>
          <w:szCs w:val="22"/>
        </w:rPr>
        <w:t>4</w:t>
      </w:r>
      <w:r w:rsidRPr="005D12C6">
        <w:rPr>
          <w:rFonts w:eastAsia="Calibri" w:cs="Times New Roman"/>
          <w:sz w:val="22"/>
          <w:szCs w:val="22"/>
        </w:rPr>
        <w:t xml:space="preserve"> y las demás disposiciones normativas y jurídicas vigentes para el Estado de Michoacán de Ocampo.</w:t>
      </w:r>
    </w:p>
    <w:p w14:paraId="17DE84BF" w14:textId="77777777" w:rsidR="00BD4F6A" w:rsidRPr="005D12C6" w:rsidRDefault="00BD4F6A" w:rsidP="00CD477C">
      <w:pPr>
        <w:spacing w:before="0" w:after="0"/>
        <w:rPr>
          <w:rFonts w:eastAsia="Calibri" w:cs="Times New Roman"/>
          <w:sz w:val="22"/>
          <w:szCs w:val="22"/>
        </w:rPr>
      </w:pPr>
    </w:p>
    <w:p w14:paraId="4E974510"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 xml:space="preserve">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w:t>
      </w:r>
      <w:r w:rsidRPr="005D12C6">
        <w:rPr>
          <w:rFonts w:eastAsia="Calibri" w:cs="Times New Roman"/>
          <w:sz w:val="22"/>
          <w:szCs w:val="22"/>
        </w:rPr>
        <w:lastRenderedPageBreak/>
        <w:t>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5D12C6" w:rsidRDefault="00BD4F6A" w:rsidP="00CD477C">
      <w:pPr>
        <w:spacing w:before="0" w:after="0"/>
        <w:ind w:left="709"/>
        <w:rPr>
          <w:rFonts w:eastAsia="Calibri" w:cs="Times New Roman"/>
          <w:sz w:val="22"/>
          <w:szCs w:val="22"/>
        </w:rPr>
      </w:pPr>
    </w:p>
    <w:p w14:paraId="13356C05" w14:textId="4D781873"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 xml:space="preserve">Para el </w:t>
      </w:r>
      <w:r w:rsidR="00CE72CD" w:rsidRPr="005D12C6">
        <w:rPr>
          <w:rFonts w:eastAsia="Calibri" w:cs="Times New Roman"/>
          <w:sz w:val="22"/>
          <w:szCs w:val="22"/>
        </w:rPr>
        <w:t xml:space="preserve">periodo que se informa de este año de </w:t>
      </w:r>
      <w:r w:rsidRPr="005D12C6">
        <w:rPr>
          <w:rFonts w:eastAsia="Calibri" w:cs="Times New Roman"/>
          <w:sz w:val="22"/>
          <w:szCs w:val="22"/>
        </w:rPr>
        <w:t>202</w:t>
      </w:r>
      <w:r w:rsidR="00DD6C98" w:rsidRPr="005D12C6">
        <w:rPr>
          <w:rFonts w:eastAsia="Calibri" w:cs="Times New Roman"/>
          <w:sz w:val="22"/>
          <w:szCs w:val="22"/>
        </w:rPr>
        <w:t>4</w:t>
      </w:r>
      <w:r w:rsidRPr="005D12C6">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DD6C98" w:rsidRPr="005D12C6">
        <w:rPr>
          <w:rFonts w:eastAsia="Calibri" w:cs="Times New Roman"/>
          <w:sz w:val="22"/>
          <w:szCs w:val="22"/>
        </w:rPr>
        <w:t>4</w:t>
      </w:r>
      <w:r w:rsidRPr="005D12C6">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Pr="005D12C6" w:rsidRDefault="00BD4F6A" w:rsidP="00CD477C">
      <w:pPr>
        <w:spacing w:before="0" w:after="0"/>
        <w:rPr>
          <w:rFonts w:eastAsia="Calibri" w:cs="Times New Roman"/>
          <w:sz w:val="22"/>
          <w:szCs w:val="22"/>
        </w:rPr>
      </w:pPr>
    </w:p>
    <w:p w14:paraId="0A63E345" w14:textId="77777777"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351295D9" w14:textId="77777777" w:rsidR="00BD4F6A" w:rsidRPr="005D12C6" w:rsidRDefault="00BD4F6A" w:rsidP="00CD477C">
      <w:pPr>
        <w:spacing w:before="0" w:after="0"/>
        <w:rPr>
          <w:rFonts w:eastAsia="Calibri" w:cs="Times New Roman"/>
          <w:sz w:val="22"/>
          <w:szCs w:val="22"/>
        </w:rPr>
      </w:pPr>
    </w:p>
    <w:p w14:paraId="453EFA61" w14:textId="539FDC23" w:rsidR="00BD4F6A" w:rsidRPr="005D12C6" w:rsidRDefault="004C47F3" w:rsidP="00CD477C">
      <w:pPr>
        <w:spacing w:before="0" w:after="0"/>
        <w:rPr>
          <w:rFonts w:eastAsia="Calibri" w:cs="Times New Roman"/>
          <w:sz w:val="22"/>
          <w:szCs w:val="22"/>
        </w:rPr>
      </w:pPr>
      <w:r w:rsidRPr="005D12C6">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sidR="00CA6759" w:rsidRPr="005D12C6">
        <w:rPr>
          <w:rFonts w:eastAsia="Calibri" w:cs="Times New Roman"/>
          <w:sz w:val="22"/>
          <w:szCs w:val="22"/>
        </w:rPr>
        <w:t>y</w:t>
      </w:r>
      <w:r w:rsidRPr="005D12C6">
        <w:rPr>
          <w:rFonts w:eastAsia="Calibri" w:cs="Times New Roman"/>
          <w:sz w:val="22"/>
          <w:szCs w:val="22"/>
        </w:rPr>
        <w:t xml:space="preserve"> Contabilidad Gubernamental </w:t>
      </w:r>
      <w:r w:rsidR="00CA6759" w:rsidRPr="005D12C6">
        <w:rPr>
          <w:rFonts w:eastAsia="Calibri" w:cs="Times New Roman"/>
          <w:sz w:val="22"/>
          <w:szCs w:val="22"/>
        </w:rPr>
        <w:t>d</w:t>
      </w:r>
      <w:r w:rsidRPr="005D12C6">
        <w:rPr>
          <w:rFonts w:eastAsia="Calibri" w:cs="Times New Roman"/>
          <w:sz w:val="22"/>
          <w:szCs w:val="22"/>
        </w:rPr>
        <w:t xml:space="preserve">el Estado De </w:t>
      </w:r>
      <w:r w:rsidRPr="005D12C6">
        <w:rPr>
          <w:rFonts w:eastAsia="Calibri" w:cs="Times New Roman"/>
          <w:sz w:val="22"/>
          <w:szCs w:val="22"/>
        </w:rPr>
        <w:lastRenderedPageBreak/>
        <w:t>Michoacán, se muestran los estados analíticos sobre deuda pública, los cuales tienen como finalidad realizar periódicamente el seguimiento del ejercicio de los egresos presupuestarios.</w:t>
      </w:r>
    </w:p>
    <w:p w14:paraId="67246B84" w14:textId="77777777" w:rsidR="004C47F3" w:rsidRPr="005D12C6" w:rsidRDefault="004C47F3" w:rsidP="00CD477C">
      <w:pPr>
        <w:spacing w:before="0" w:after="0"/>
        <w:rPr>
          <w:rFonts w:eastAsia="Calibri" w:cs="Times New Roman"/>
          <w:b/>
          <w:sz w:val="22"/>
          <w:szCs w:val="22"/>
        </w:rPr>
      </w:pPr>
    </w:p>
    <w:p w14:paraId="1C184244" w14:textId="6D265F47" w:rsidR="00BD4F6A" w:rsidRPr="005D12C6" w:rsidRDefault="00BD4F6A" w:rsidP="00CD477C">
      <w:pPr>
        <w:spacing w:before="0" w:after="0"/>
        <w:ind w:left="720"/>
        <w:rPr>
          <w:rFonts w:eastAsia="Calibri" w:cs="Times New Roman"/>
          <w:b/>
          <w:sz w:val="22"/>
          <w:szCs w:val="22"/>
        </w:rPr>
      </w:pPr>
      <w:proofErr w:type="gramStart"/>
      <w:r w:rsidRPr="005D12C6">
        <w:rPr>
          <w:rFonts w:eastAsia="Calibri" w:cs="Times New Roman"/>
          <w:b/>
          <w:sz w:val="22"/>
          <w:szCs w:val="22"/>
        </w:rPr>
        <w:t>c)</w:t>
      </w:r>
      <w:proofErr w:type="gramEnd"/>
      <w:r w:rsidRPr="005D12C6">
        <w:rPr>
          <w:rFonts w:eastAsia="Calibri" w:cs="Times New Roman"/>
          <w:b/>
          <w:sz w:val="22"/>
          <w:szCs w:val="22"/>
        </w:rPr>
        <w:t>. Postulados básicos</w:t>
      </w:r>
      <w:r w:rsidR="00860C1E" w:rsidRPr="005D12C6">
        <w:rPr>
          <w:rFonts w:eastAsia="Calibri" w:cs="Times New Roman"/>
          <w:b/>
          <w:sz w:val="22"/>
          <w:szCs w:val="22"/>
        </w:rPr>
        <w:t xml:space="preserve"> de Contabilidad Gubernamental</w:t>
      </w:r>
      <w:r w:rsidRPr="005D12C6">
        <w:rPr>
          <w:rFonts w:eastAsia="Calibri" w:cs="Times New Roman"/>
          <w:b/>
          <w:sz w:val="22"/>
          <w:szCs w:val="22"/>
        </w:rPr>
        <w:t>.</w:t>
      </w:r>
    </w:p>
    <w:p w14:paraId="69B2FB2D" w14:textId="77777777" w:rsidR="00BD4F6A" w:rsidRPr="005D12C6" w:rsidRDefault="00BD4F6A" w:rsidP="00CD477C">
      <w:pPr>
        <w:spacing w:before="0" w:after="0"/>
        <w:rPr>
          <w:rFonts w:eastAsia="Calibri" w:cs="Times New Roman"/>
          <w:sz w:val="22"/>
          <w:szCs w:val="22"/>
        </w:rPr>
      </w:pPr>
    </w:p>
    <w:p w14:paraId="125ACA56" w14:textId="540BA345" w:rsidR="00BD4F6A" w:rsidRPr="005D12C6" w:rsidRDefault="00BD4F6A" w:rsidP="00CD477C">
      <w:pPr>
        <w:spacing w:before="0" w:after="0"/>
        <w:rPr>
          <w:rFonts w:eastAsia="Calibri" w:cs="Times New Roman"/>
          <w:sz w:val="22"/>
          <w:szCs w:val="22"/>
        </w:rPr>
      </w:pPr>
      <w:r w:rsidRPr="005D12C6">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7625262C" w14:textId="77777777" w:rsidR="00CA6759" w:rsidRPr="005D12C6" w:rsidRDefault="00CA6759" w:rsidP="00CD477C">
      <w:pPr>
        <w:spacing w:before="0" w:after="0"/>
        <w:rPr>
          <w:rFonts w:eastAsia="Calibri" w:cs="Times New Roman"/>
          <w:sz w:val="22"/>
          <w:szCs w:val="22"/>
        </w:rPr>
      </w:pPr>
    </w:p>
    <w:p w14:paraId="442B20AC" w14:textId="6862B07A" w:rsidR="00860C1E" w:rsidRPr="005D12C6" w:rsidRDefault="00860C1E" w:rsidP="00CD477C">
      <w:pPr>
        <w:spacing w:before="0" w:after="0"/>
        <w:ind w:left="720"/>
        <w:rPr>
          <w:rFonts w:eastAsia="Calibri" w:cs="Times New Roman"/>
          <w:b/>
          <w:sz w:val="22"/>
          <w:szCs w:val="22"/>
        </w:rPr>
      </w:pPr>
      <w:r w:rsidRPr="005D12C6">
        <w:rPr>
          <w:rFonts w:eastAsia="Calibri" w:cs="Times New Roman"/>
          <w:b/>
          <w:sz w:val="22"/>
          <w:szCs w:val="22"/>
        </w:rPr>
        <w:t>d) Normatividad Supletoria</w:t>
      </w:r>
    </w:p>
    <w:p w14:paraId="2D1917DB" w14:textId="36B4F6BD" w:rsidR="00860C1E" w:rsidRPr="005D12C6" w:rsidRDefault="00860C1E" w:rsidP="00CD477C">
      <w:pPr>
        <w:spacing w:before="0" w:after="0"/>
        <w:rPr>
          <w:rFonts w:eastAsia="Calibri" w:cs="Times New Roman"/>
          <w:sz w:val="22"/>
          <w:szCs w:val="22"/>
        </w:rPr>
      </w:pPr>
    </w:p>
    <w:p w14:paraId="576A83C1" w14:textId="7F7C0C3D" w:rsidR="00860C1E" w:rsidRPr="005D12C6" w:rsidRDefault="00860C1E" w:rsidP="00CD477C">
      <w:pPr>
        <w:spacing w:before="0" w:after="0"/>
        <w:rPr>
          <w:rFonts w:eastAsia="Calibri" w:cs="Times New Roman"/>
          <w:sz w:val="22"/>
          <w:szCs w:val="22"/>
        </w:rPr>
      </w:pPr>
      <w:r w:rsidRPr="005D12C6">
        <w:rPr>
          <w:rFonts w:eastAsia="Calibri" w:cs="Times New Roman"/>
          <w:sz w:val="22"/>
          <w:szCs w:val="22"/>
        </w:rPr>
        <w:t>No se aplica normatividad de manera supletoria para la elaboración de los Estados Financieros.</w:t>
      </w:r>
    </w:p>
    <w:p w14:paraId="2F525C13" w14:textId="05A30AE4" w:rsidR="00860C1E" w:rsidRPr="005D12C6" w:rsidRDefault="00860C1E" w:rsidP="00CD477C">
      <w:pPr>
        <w:spacing w:before="0" w:after="0"/>
        <w:rPr>
          <w:rFonts w:eastAsia="Calibri" w:cs="Times New Roman"/>
          <w:sz w:val="22"/>
          <w:szCs w:val="22"/>
        </w:rPr>
      </w:pPr>
    </w:p>
    <w:p w14:paraId="5AE572F7" w14:textId="620FF682" w:rsidR="00860C1E" w:rsidRPr="005D12C6" w:rsidRDefault="00860C1E" w:rsidP="00CD477C">
      <w:pPr>
        <w:spacing w:before="0" w:after="0"/>
        <w:ind w:left="720"/>
        <w:rPr>
          <w:rFonts w:eastAsia="Calibri" w:cs="Times New Roman"/>
          <w:b/>
          <w:sz w:val="22"/>
          <w:szCs w:val="22"/>
        </w:rPr>
      </w:pPr>
      <w:r w:rsidRPr="005D12C6">
        <w:rPr>
          <w:rFonts w:eastAsia="Calibri" w:cs="Times New Roman"/>
          <w:b/>
          <w:sz w:val="22"/>
          <w:szCs w:val="22"/>
        </w:rPr>
        <w:t>e) Entidades que por primera vez apliquen la base del devengado</w:t>
      </w:r>
    </w:p>
    <w:p w14:paraId="1970CECB" w14:textId="17B9F500" w:rsidR="00860C1E" w:rsidRPr="005D12C6" w:rsidRDefault="00860C1E" w:rsidP="00CD477C">
      <w:pPr>
        <w:spacing w:before="0" w:after="0"/>
        <w:rPr>
          <w:rFonts w:eastAsia="Calibri" w:cs="Times New Roman"/>
          <w:sz w:val="22"/>
          <w:szCs w:val="22"/>
        </w:rPr>
      </w:pPr>
    </w:p>
    <w:p w14:paraId="53F8BDC4" w14:textId="54EE86E1" w:rsidR="00860C1E" w:rsidRPr="005D12C6" w:rsidRDefault="00860C1E" w:rsidP="00CD477C">
      <w:pPr>
        <w:spacing w:before="0" w:after="0"/>
        <w:rPr>
          <w:rFonts w:eastAsia="Calibri" w:cs="Times New Roman"/>
          <w:sz w:val="22"/>
          <w:szCs w:val="22"/>
        </w:rPr>
      </w:pPr>
      <w:r w:rsidRPr="005D12C6">
        <w:rPr>
          <w:rFonts w:eastAsia="Calibri" w:cs="Times New Roman"/>
          <w:sz w:val="22"/>
          <w:szCs w:val="22"/>
        </w:rPr>
        <w:t>Este punto no aplica para el Gobierno del Estado de Michoacán.</w:t>
      </w:r>
    </w:p>
    <w:p w14:paraId="401108AE" w14:textId="77777777" w:rsidR="00BD4F6A" w:rsidRPr="005D12C6" w:rsidRDefault="00BD4F6A" w:rsidP="00CD477C">
      <w:pPr>
        <w:spacing w:before="0" w:after="0"/>
        <w:rPr>
          <w:rFonts w:eastAsia="Calibri" w:cs="Times New Roman"/>
          <w:sz w:val="22"/>
          <w:szCs w:val="22"/>
        </w:rPr>
      </w:pPr>
    </w:p>
    <w:p w14:paraId="6886C0F8" w14:textId="2A32BB20" w:rsidR="00BD4F6A" w:rsidRPr="005D12C6" w:rsidRDefault="00860C1E" w:rsidP="00CD477C">
      <w:pPr>
        <w:spacing w:before="0" w:after="0"/>
        <w:rPr>
          <w:rFonts w:eastAsia="Calibri" w:cs="Times New Roman"/>
          <w:b/>
          <w:bCs/>
          <w:sz w:val="22"/>
          <w:szCs w:val="22"/>
        </w:rPr>
      </w:pPr>
      <w:r w:rsidRPr="005D12C6">
        <w:rPr>
          <w:rFonts w:eastAsia="Calibri" w:cs="Times New Roman"/>
          <w:b/>
          <w:bCs/>
          <w:sz w:val="22"/>
          <w:szCs w:val="22"/>
        </w:rPr>
        <w:t>5</w:t>
      </w:r>
      <w:r w:rsidR="00BD4F6A" w:rsidRPr="005D12C6">
        <w:rPr>
          <w:rFonts w:eastAsia="Calibri" w:cs="Times New Roman"/>
          <w:b/>
          <w:bCs/>
          <w:sz w:val="22"/>
          <w:szCs w:val="22"/>
        </w:rPr>
        <w:t>.- Políticas de Contabilidad Significativas.</w:t>
      </w:r>
    </w:p>
    <w:p w14:paraId="14A5C80F" w14:textId="77777777" w:rsidR="00BD4F6A" w:rsidRPr="005D12C6" w:rsidRDefault="00BD4F6A" w:rsidP="00CD477C">
      <w:pPr>
        <w:spacing w:before="0" w:after="0"/>
        <w:ind w:left="720"/>
        <w:rPr>
          <w:rFonts w:eastAsia="Calibri" w:cs="Times New Roman"/>
          <w:b/>
          <w:sz w:val="22"/>
          <w:szCs w:val="22"/>
        </w:rPr>
      </w:pPr>
    </w:p>
    <w:p w14:paraId="36F89262" w14:textId="77777777" w:rsidR="00BD4F6A" w:rsidRPr="005D12C6" w:rsidRDefault="00BD4F6A" w:rsidP="00CD477C">
      <w:pPr>
        <w:spacing w:before="0" w:after="0"/>
        <w:ind w:left="720"/>
        <w:rPr>
          <w:rFonts w:eastAsia="Calibri" w:cs="Times New Roman"/>
          <w:b/>
          <w:sz w:val="22"/>
          <w:szCs w:val="22"/>
        </w:rPr>
      </w:pPr>
      <w:r w:rsidRPr="005D12C6">
        <w:rPr>
          <w:rFonts w:eastAsia="Calibri" w:cs="Times New Roman"/>
          <w:b/>
          <w:sz w:val="22"/>
          <w:szCs w:val="22"/>
        </w:rPr>
        <w:t>a)  Actualización del valor de los activos.</w:t>
      </w:r>
    </w:p>
    <w:p w14:paraId="557B5288" w14:textId="77777777" w:rsidR="00F40D4E" w:rsidRPr="005D12C6" w:rsidRDefault="00F40D4E" w:rsidP="00F40D4E">
      <w:pPr>
        <w:spacing w:before="0" w:after="0"/>
        <w:rPr>
          <w:rFonts w:eastAsia="Calibri" w:cs="Times New Roman"/>
          <w:bCs/>
          <w:sz w:val="22"/>
          <w:szCs w:val="22"/>
        </w:rPr>
      </w:pPr>
      <w:r w:rsidRPr="005D12C6">
        <w:rPr>
          <w:rFonts w:eastAsia="Calibri" w:cs="Times New Roman"/>
          <w:bCs/>
          <w:sz w:val="22"/>
          <w:szCs w:val="22"/>
        </w:rPr>
        <w:t xml:space="preserve">Con el  propósito de dar cumplimiento a los Artículos 46 fracción I inciso 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w:t>
      </w:r>
      <w:r w:rsidRPr="005D12C6">
        <w:rPr>
          <w:rFonts w:eastAsia="Calibri" w:cs="Times New Roman"/>
          <w:bCs/>
          <w:sz w:val="22"/>
          <w:szCs w:val="22"/>
        </w:rPr>
        <w:lastRenderedPageBreak/>
        <w:t>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0C5F4048" w14:textId="77777777" w:rsidR="00214D48" w:rsidRPr="005D12C6" w:rsidRDefault="00214D48" w:rsidP="00F40D4E">
      <w:pPr>
        <w:spacing w:before="0" w:after="0"/>
        <w:rPr>
          <w:rFonts w:eastAsia="Calibri" w:cs="Times New Roman"/>
          <w:bCs/>
          <w:sz w:val="22"/>
          <w:szCs w:val="22"/>
        </w:rPr>
      </w:pPr>
    </w:p>
    <w:p w14:paraId="42471D44" w14:textId="771A11FB" w:rsidR="0055183B" w:rsidRPr="005D12C6" w:rsidRDefault="00F40D4E" w:rsidP="00F40D4E">
      <w:pPr>
        <w:spacing w:before="0" w:after="0"/>
        <w:rPr>
          <w:rFonts w:eastAsia="Calibri" w:cs="Times New Roman"/>
          <w:bCs/>
          <w:sz w:val="22"/>
          <w:szCs w:val="22"/>
        </w:rPr>
      </w:pPr>
      <w:r w:rsidRPr="005D12C6">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 asimismo, es necesario considerar el presente Lineamiento denominado, Acuerdo por el que se emite las reglas específicas del registro y valoración del patrimonio en el numeral 16.1, 16.2 y 16.3.</w:t>
      </w:r>
    </w:p>
    <w:p w14:paraId="40BCA682" w14:textId="77777777" w:rsidR="0055183B" w:rsidRPr="005D12C6" w:rsidRDefault="0055183B" w:rsidP="00CD477C">
      <w:pPr>
        <w:spacing w:before="0" w:after="0"/>
        <w:rPr>
          <w:rFonts w:eastAsia="Calibri" w:cs="Times New Roman"/>
          <w:bCs/>
          <w:sz w:val="22"/>
          <w:szCs w:val="22"/>
        </w:rPr>
      </w:pPr>
    </w:p>
    <w:p w14:paraId="25DF026C" w14:textId="77777777" w:rsidR="00BD4F6A" w:rsidRPr="005D12C6" w:rsidRDefault="00BD4F6A" w:rsidP="00CD477C">
      <w:pPr>
        <w:spacing w:before="0" w:after="0"/>
        <w:ind w:left="720"/>
        <w:rPr>
          <w:rFonts w:eastAsia="Calibri" w:cs="Times New Roman"/>
          <w:b/>
          <w:sz w:val="22"/>
          <w:szCs w:val="22"/>
        </w:rPr>
      </w:pPr>
      <w:r w:rsidRPr="005D12C6">
        <w:rPr>
          <w:rFonts w:eastAsia="Calibri" w:cs="Times New Roman"/>
          <w:b/>
          <w:sz w:val="22"/>
          <w:szCs w:val="22"/>
        </w:rPr>
        <w:t>b) Informar sobre la realización de operaciones en el extranjero y de sus efectos en la información financiera gubernamental.</w:t>
      </w:r>
    </w:p>
    <w:p w14:paraId="14D16D54" w14:textId="77777777" w:rsidR="003E2C2C" w:rsidRPr="005D12C6" w:rsidRDefault="003E2C2C" w:rsidP="00CD477C">
      <w:pPr>
        <w:spacing w:before="0" w:after="0"/>
        <w:ind w:left="720"/>
        <w:rPr>
          <w:rFonts w:eastAsia="Calibri" w:cs="Times New Roman"/>
          <w:b/>
          <w:sz w:val="22"/>
          <w:szCs w:val="22"/>
        </w:rPr>
      </w:pPr>
    </w:p>
    <w:p w14:paraId="776CB32F"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El Gobierno del Estado de Michoacán no realiza operaciones en el extranjero.</w:t>
      </w:r>
    </w:p>
    <w:p w14:paraId="0783281C" w14:textId="77777777" w:rsidR="00A45832" w:rsidRPr="005D12C6" w:rsidRDefault="00A45832" w:rsidP="00CD477C">
      <w:pPr>
        <w:spacing w:before="0" w:after="0"/>
        <w:ind w:left="720"/>
        <w:rPr>
          <w:rFonts w:eastAsia="Calibri" w:cs="Times New Roman"/>
          <w:b/>
          <w:sz w:val="22"/>
          <w:szCs w:val="22"/>
        </w:rPr>
      </w:pPr>
    </w:p>
    <w:p w14:paraId="7E1C0D1E" w14:textId="7CC75E8C" w:rsidR="00BD4F6A" w:rsidRPr="005D12C6" w:rsidRDefault="00BD4F6A" w:rsidP="00CD477C">
      <w:pPr>
        <w:spacing w:before="0" w:after="0"/>
        <w:ind w:left="720"/>
        <w:rPr>
          <w:rFonts w:eastAsia="Calibri" w:cs="Times New Roman"/>
          <w:b/>
          <w:sz w:val="22"/>
          <w:szCs w:val="22"/>
        </w:rPr>
      </w:pPr>
      <w:r w:rsidRPr="005D12C6">
        <w:rPr>
          <w:rFonts w:eastAsia="Calibri" w:cs="Times New Roman"/>
          <w:b/>
          <w:sz w:val="22"/>
          <w:szCs w:val="22"/>
        </w:rPr>
        <w:t>c) Método de valuación en acciones de Compañías subsidiarias no consolidadas.</w:t>
      </w:r>
    </w:p>
    <w:p w14:paraId="153037BB"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El Gobierno del Estado de Michoacán no cuenta con acciones en compañías subsidiarias no consolidadas.</w:t>
      </w:r>
    </w:p>
    <w:p w14:paraId="15A685D4" w14:textId="77777777" w:rsidR="00F8515A" w:rsidRPr="005D12C6" w:rsidRDefault="00F8515A" w:rsidP="00CD477C">
      <w:pPr>
        <w:spacing w:before="0" w:after="0"/>
        <w:ind w:left="720"/>
        <w:rPr>
          <w:rFonts w:eastAsia="Calibri" w:cs="Times New Roman"/>
          <w:b/>
          <w:sz w:val="22"/>
          <w:szCs w:val="22"/>
        </w:rPr>
      </w:pPr>
    </w:p>
    <w:p w14:paraId="48277993" w14:textId="2F16B83B" w:rsidR="00BD4F6A" w:rsidRPr="005D12C6" w:rsidRDefault="00BD4F6A" w:rsidP="00CD477C">
      <w:pPr>
        <w:spacing w:before="0" w:after="0"/>
        <w:ind w:left="720"/>
        <w:rPr>
          <w:rFonts w:eastAsia="Calibri" w:cs="Times New Roman"/>
          <w:b/>
          <w:sz w:val="22"/>
          <w:szCs w:val="22"/>
        </w:rPr>
      </w:pPr>
      <w:r w:rsidRPr="005D12C6">
        <w:rPr>
          <w:rFonts w:eastAsia="Calibri" w:cs="Times New Roman"/>
          <w:b/>
          <w:sz w:val="22"/>
          <w:szCs w:val="22"/>
        </w:rPr>
        <w:t>d) Sistema y costo de valuación del costo de lo vendido.</w:t>
      </w:r>
    </w:p>
    <w:p w14:paraId="04001409" w14:textId="754249AE" w:rsidR="00A45832" w:rsidRPr="005D12C6" w:rsidRDefault="00A45832" w:rsidP="00CD477C">
      <w:pPr>
        <w:spacing w:before="0" w:after="0"/>
        <w:rPr>
          <w:rFonts w:eastAsia="Calibri" w:cs="Times New Roman"/>
          <w:bCs/>
          <w:sz w:val="22"/>
          <w:szCs w:val="22"/>
        </w:rPr>
      </w:pPr>
    </w:p>
    <w:p w14:paraId="2D6FE707" w14:textId="4B3E3FC0"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El Gobierno del Estado de Michoacán no realiza ventas, como parte de su actividad principal.</w:t>
      </w:r>
    </w:p>
    <w:p w14:paraId="76D1BF76" w14:textId="77777777" w:rsidR="00C24CC7" w:rsidRPr="005D12C6" w:rsidRDefault="00C24CC7" w:rsidP="00CD477C">
      <w:pPr>
        <w:spacing w:before="0" w:after="0"/>
        <w:ind w:left="720"/>
        <w:rPr>
          <w:rFonts w:eastAsia="Calibri" w:cs="Times New Roman"/>
          <w:b/>
          <w:sz w:val="22"/>
          <w:szCs w:val="22"/>
        </w:rPr>
      </w:pPr>
    </w:p>
    <w:p w14:paraId="38FEBD3A" w14:textId="41772EC6" w:rsidR="00BD4F6A" w:rsidRPr="005D12C6" w:rsidRDefault="00BD4F6A" w:rsidP="00CD477C">
      <w:pPr>
        <w:spacing w:before="0" w:after="0"/>
        <w:ind w:left="720"/>
        <w:rPr>
          <w:rFonts w:eastAsia="Calibri" w:cs="Times New Roman"/>
          <w:b/>
          <w:sz w:val="22"/>
          <w:szCs w:val="22"/>
        </w:rPr>
      </w:pPr>
      <w:r w:rsidRPr="005D12C6">
        <w:rPr>
          <w:rFonts w:eastAsia="Calibri" w:cs="Times New Roman"/>
          <w:b/>
          <w:sz w:val="22"/>
          <w:szCs w:val="22"/>
        </w:rPr>
        <w:t>e) Depuración y cancelación de saldos.</w:t>
      </w:r>
    </w:p>
    <w:p w14:paraId="415BEEFB" w14:textId="77777777" w:rsidR="003E2C2C" w:rsidRPr="005D12C6" w:rsidRDefault="003E2C2C" w:rsidP="00CD477C">
      <w:pPr>
        <w:spacing w:before="0" w:after="0"/>
        <w:ind w:left="720"/>
        <w:rPr>
          <w:rFonts w:eastAsia="Calibri" w:cs="Times New Roman"/>
          <w:b/>
          <w:sz w:val="22"/>
          <w:szCs w:val="22"/>
        </w:rPr>
      </w:pPr>
    </w:p>
    <w:p w14:paraId="1F6245FF" w14:textId="6D314A7A" w:rsidR="008F2D6B" w:rsidRPr="005D12C6" w:rsidRDefault="00BD4F6A" w:rsidP="00CD477C">
      <w:pPr>
        <w:spacing w:before="0" w:after="0"/>
        <w:rPr>
          <w:rFonts w:eastAsia="Calibri" w:cs="Times New Roman"/>
          <w:bCs/>
          <w:sz w:val="22"/>
          <w:szCs w:val="22"/>
        </w:rPr>
      </w:pPr>
      <w:r w:rsidRPr="005D12C6">
        <w:rPr>
          <w:rFonts w:eastAsia="Calibri" w:cs="Times New Roman"/>
          <w:bCs/>
          <w:sz w:val="22"/>
          <w:szCs w:val="22"/>
        </w:rPr>
        <w:t xml:space="preserve">El Gobierno del Estado de Michoacán, como parte de sus prioridades de mantener finanzas sanas y una rendición de cuentas que permitan a la ciudadanía conocer el estado de la situación financiera del Estado de Michoacán, se ha dado a </w:t>
      </w:r>
      <w:r w:rsidRPr="005D12C6">
        <w:rPr>
          <w:rFonts w:eastAsia="Calibri" w:cs="Times New Roman"/>
          <w:bCs/>
          <w:sz w:val="22"/>
          <w:szCs w:val="22"/>
        </w:rPr>
        <w:lastRenderedPageBreak/>
        <w:t>la tarea de realizar una depuración de saldos que son derivados de ejercicios anteriores, por omisiones o errores contables</w:t>
      </w:r>
      <w:r w:rsidR="00BF6734" w:rsidRPr="005D12C6">
        <w:rPr>
          <w:rFonts w:eastAsia="Calibri" w:cs="Times New Roman"/>
          <w:bCs/>
          <w:sz w:val="22"/>
          <w:szCs w:val="22"/>
        </w:rPr>
        <w:t>, destacando la depuración de cuentas bancarias inexistentes, deudores y acreedores cuyos pagos no fueron registrados en su momento conforme a la normativa aplicable</w:t>
      </w:r>
      <w:r w:rsidRPr="005D12C6">
        <w:rPr>
          <w:rFonts w:eastAsia="Calibri" w:cs="Times New Roman"/>
          <w:bCs/>
          <w:sz w:val="22"/>
          <w:szCs w:val="22"/>
        </w:rPr>
        <w:t>.</w:t>
      </w:r>
    </w:p>
    <w:p w14:paraId="6EE22FAB" w14:textId="77777777" w:rsidR="00BF6734" w:rsidRPr="005D12C6" w:rsidRDefault="00BF6734" w:rsidP="00CD477C">
      <w:pPr>
        <w:spacing w:before="0" w:after="0"/>
        <w:rPr>
          <w:rFonts w:eastAsia="Calibri" w:cs="Times New Roman"/>
          <w:bCs/>
          <w:sz w:val="22"/>
          <w:szCs w:val="22"/>
        </w:rPr>
      </w:pPr>
    </w:p>
    <w:p w14:paraId="623256C4" w14:textId="26125722" w:rsidR="00BD4F6A" w:rsidRPr="005D12C6" w:rsidRDefault="00860C1E" w:rsidP="00CD477C">
      <w:pPr>
        <w:spacing w:before="0" w:after="0"/>
        <w:rPr>
          <w:rFonts w:eastAsia="Calibri" w:cs="Times New Roman"/>
          <w:b/>
          <w:sz w:val="22"/>
          <w:szCs w:val="22"/>
        </w:rPr>
      </w:pPr>
      <w:r w:rsidRPr="005D12C6">
        <w:rPr>
          <w:rFonts w:eastAsia="Calibri" w:cs="Times New Roman"/>
          <w:b/>
          <w:sz w:val="22"/>
          <w:szCs w:val="22"/>
        </w:rPr>
        <w:t>6</w:t>
      </w:r>
      <w:r w:rsidR="00BD4F6A" w:rsidRPr="005D12C6">
        <w:rPr>
          <w:rFonts w:eastAsia="Calibri" w:cs="Times New Roman"/>
          <w:b/>
          <w:sz w:val="22"/>
          <w:szCs w:val="22"/>
        </w:rPr>
        <w:t>. Posición en moneda extranjera y protección por riesgo cambiario.</w:t>
      </w:r>
    </w:p>
    <w:p w14:paraId="7EEBE740" w14:textId="77777777" w:rsidR="003E2C2C" w:rsidRPr="005D12C6" w:rsidRDefault="003E2C2C" w:rsidP="00CD477C">
      <w:pPr>
        <w:spacing w:before="0" w:after="0"/>
        <w:rPr>
          <w:rFonts w:eastAsia="Calibri" w:cs="Times New Roman"/>
          <w:b/>
          <w:sz w:val="22"/>
          <w:szCs w:val="22"/>
        </w:rPr>
      </w:pPr>
    </w:p>
    <w:p w14:paraId="30483456" w14:textId="4316B964"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225855E4" w14:textId="77777777" w:rsidR="00214D48" w:rsidRPr="005D12C6" w:rsidRDefault="00214D48" w:rsidP="00CD477C">
      <w:pPr>
        <w:spacing w:before="0" w:after="0"/>
        <w:rPr>
          <w:rFonts w:eastAsia="Calibri" w:cs="Times New Roman"/>
          <w:b/>
          <w:sz w:val="22"/>
          <w:szCs w:val="22"/>
        </w:rPr>
      </w:pPr>
    </w:p>
    <w:p w14:paraId="4403288C" w14:textId="7093F493" w:rsidR="00BD4F6A" w:rsidRPr="005D12C6" w:rsidRDefault="00860C1E" w:rsidP="00CD477C">
      <w:pPr>
        <w:spacing w:before="0" w:after="0"/>
        <w:rPr>
          <w:rFonts w:eastAsia="Calibri" w:cs="Times New Roman"/>
          <w:b/>
          <w:sz w:val="22"/>
          <w:szCs w:val="22"/>
        </w:rPr>
      </w:pPr>
      <w:r w:rsidRPr="005D12C6">
        <w:rPr>
          <w:rFonts w:eastAsia="Calibri" w:cs="Times New Roman"/>
          <w:b/>
          <w:sz w:val="22"/>
          <w:szCs w:val="22"/>
        </w:rPr>
        <w:t>7</w:t>
      </w:r>
      <w:r w:rsidR="00BD4F6A" w:rsidRPr="005D12C6">
        <w:rPr>
          <w:rFonts w:eastAsia="Calibri" w:cs="Times New Roman"/>
          <w:b/>
          <w:sz w:val="22"/>
          <w:szCs w:val="22"/>
        </w:rPr>
        <w:t>. Reporte Analítico del Activo.</w:t>
      </w:r>
    </w:p>
    <w:p w14:paraId="3B137ACF" w14:textId="77777777" w:rsidR="003E2C2C" w:rsidRPr="005D12C6" w:rsidRDefault="003E2C2C" w:rsidP="00CD477C">
      <w:pPr>
        <w:spacing w:before="0" w:after="0"/>
        <w:rPr>
          <w:rFonts w:eastAsia="Calibri" w:cs="Times New Roman"/>
          <w:b/>
          <w:sz w:val="22"/>
          <w:szCs w:val="22"/>
        </w:rPr>
      </w:pPr>
    </w:p>
    <w:p w14:paraId="583CEB3E" w14:textId="340BBAF9"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a). Vida útil, porcentajes de depreciación, deterioro o amortización utilizados en los diferentes tipos de activos.</w:t>
      </w:r>
    </w:p>
    <w:p w14:paraId="52DD7E22" w14:textId="77777777" w:rsidR="009147AD" w:rsidRPr="005D12C6" w:rsidRDefault="009147AD" w:rsidP="00CD477C">
      <w:pPr>
        <w:spacing w:before="0" w:after="0"/>
        <w:rPr>
          <w:rFonts w:eastAsia="Calibri" w:cs="Times New Roman"/>
          <w:sz w:val="22"/>
          <w:szCs w:val="22"/>
        </w:rPr>
      </w:pPr>
    </w:p>
    <w:p w14:paraId="5FE90A45" w14:textId="6014E3AE" w:rsidR="009D38A5" w:rsidRPr="005D12C6" w:rsidRDefault="009070DB" w:rsidP="00CD477C">
      <w:pPr>
        <w:spacing w:before="0" w:after="0"/>
        <w:rPr>
          <w:rFonts w:eastAsia="Calibri" w:cs="Times New Roman"/>
          <w:sz w:val="22"/>
          <w:szCs w:val="22"/>
        </w:rPr>
      </w:pPr>
      <w:r w:rsidRPr="005D12C6">
        <w:rPr>
          <w:rFonts w:eastAsia="Calibri" w:cs="Times New Roman"/>
          <w:sz w:val="22"/>
          <w:szCs w:val="22"/>
        </w:rPr>
        <w:t xml:space="preserve">De acuerdo a la vida útil estimada y porcentajes de depreciación se toma como </w:t>
      </w:r>
      <w:r w:rsidR="009147AD" w:rsidRPr="005D12C6">
        <w:rPr>
          <w:rFonts w:eastAsia="Calibri" w:cs="Times New Roman"/>
          <w:sz w:val="22"/>
          <w:szCs w:val="22"/>
        </w:rPr>
        <w:t>referencia</w:t>
      </w:r>
      <w:r w:rsidRPr="005D12C6">
        <w:rPr>
          <w:rFonts w:eastAsia="Calibri" w:cs="Times New Roman"/>
          <w:sz w:val="22"/>
          <w:szCs w:val="22"/>
        </w:rPr>
        <w:t xml:space="preserve"> los Parámetros de Estimación de Vida Útil </w:t>
      </w:r>
      <w:r w:rsidR="009147AD" w:rsidRPr="005D12C6">
        <w:rPr>
          <w:sz w:val="22"/>
          <w:szCs w:val="22"/>
        </w:rPr>
        <w:t>en el Periódico Oficial de la Federación, el día 15 de agosto de 2012.</w:t>
      </w:r>
    </w:p>
    <w:p w14:paraId="00D16EB8" w14:textId="77777777" w:rsidR="009147AD" w:rsidRPr="005D12C6" w:rsidRDefault="009147AD" w:rsidP="009147AD">
      <w:pPr>
        <w:rPr>
          <w:sz w:val="22"/>
          <w:szCs w:val="22"/>
        </w:rPr>
      </w:pPr>
    </w:p>
    <w:p w14:paraId="44876A23" w14:textId="2E2B996C" w:rsidR="009147AD" w:rsidRPr="005D12C6" w:rsidRDefault="009147AD" w:rsidP="009147AD">
      <w:pPr>
        <w:spacing w:before="0" w:after="0"/>
        <w:rPr>
          <w:sz w:val="22"/>
          <w:szCs w:val="22"/>
        </w:rPr>
      </w:pPr>
      <w:r w:rsidRPr="005D12C6">
        <w:rPr>
          <w:sz w:val="22"/>
          <w:szCs w:val="22"/>
        </w:rPr>
        <w:t xml:space="preserve">El proceso de administración del alta de un inmuebles, puede ser: por adquisición, expropiación, donación, regularización y disposición entre otros, en el caso de las áreas de donación en favor del Gobierno del Estado, de un fraccionamiento habitacional para el ejercicio 2024, se entrega el 3% del área total del mismo predio, a favor de Gobierno del Estado de Michoacán, esta superficie, se regulariza a través de las Donaciones, de cualquiera de los tipos que se señalan </w:t>
      </w:r>
      <w:r w:rsidR="0045703E">
        <w:rPr>
          <w:sz w:val="22"/>
          <w:szCs w:val="22"/>
        </w:rPr>
        <w:t xml:space="preserve">el </w:t>
      </w:r>
      <w:r w:rsidR="00455588">
        <w:rPr>
          <w:sz w:val="22"/>
          <w:szCs w:val="22"/>
        </w:rPr>
        <w:t>Código</w:t>
      </w:r>
      <w:r w:rsidRPr="005D12C6">
        <w:rPr>
          <w:sz w:val="22"/>
          <w:szCs w:val="22"/>
        </w:rPr>
        <w:t xml:space="preserve"> de Desarrollo Urbano del Estado de Michoacán de Ocampo, en su artículo </w:t>
      </w:r>
      <w:r w:rsidR="00455588">
        <w:rPr>
          <w:sz w:val="22"/>
          <w:szCs w:val="22"/>
        </w:rPr>
        <w:t>329</w:t>
      </w:r>
      <w:r w:rsidRPr="005D12C6">
        <w:rPr>
          <w:sz w:val="22"/>
          <w:szCs w:val="22"/>
        </w:rPr>
        <w:t xml:space="preserve">, para el ejercicio 2024, se lleva un trámite de inscripción en el Registro Público de la Propiedad, mediante escritura que costeará el fraccionador, una vez registrado y escriturado, se entera a la Dirección de Patrimonio Estatal de la Secretaria de Finanzas y Administración, para establecer la política general de la  integración  y custodia de los expedientes de incorporación al patrimonio del Gobierno del Estado de Michoacán, asimismo el registro en el sistema de control patrimonial, así mismo, realizar el registro contable en Sistema de Contabilidad Gubernamental </w:t>
      </w:r>
      <w:r w:rsidRPr="005D12C6">
        <w:rPr>
          <w:sz w:val="22"/>
          <w:szCs w:val="22"/>
        </w:rPr>
        <w:lastRenderedPageBreak/>
        <w:t>del sector central, como lo establece la LGCG y el Manual de Procedimientos de la Secretaria de Finanzas y Administración.</w:t>
      </w:r>
    </w:p>
    <w:p w14:paraId="4052B4AD" w14:textId="77777777" w:rsidR="009147AD" w:rsidRPr="005D12C6" w:rsidRDefault="009147AD" w:rsidP="009147AD">
      <w:pPr>
        <w:rPr>
          <w:sz w:val="22"/>
          <w:szCs w:val="22"/>
        </w:rPr>
      </w:pPr>
    </w:p>
    <w:p w14:paraId="67378A1A" w14:textId="77777777" w:rsidR="00282840" w:rsidRPr="005D12C6" w:rsidRDefault="00282840" w:rsidP="00282840">
      <w:pPr>
        <w:rPr>
          <w:sz w:val="22"/>
          <w:szCs w:val="22"/>
        </w:rPr>
      </w:pPr>
      <w:r>
        <w:rPr>
          <w:sz w:val="22"/>
          <w:szCs w:val="22"/>
        </w:rPr>
        <w:t>Durante este trimestre</w:t>
      </w:r>
      <w:r w:rsidRPr="005D12C6">
        <w:rPr>
          <w:sz w:val="22"/>
          <w:szCs w:val="22"/>
        </w:rPr>
        <w:t xml:space="preserve"> se realizó el registro contable de la Depreciación de los Edificios</w:t>
      </w:r>
      <w:r>
        <w:rPr>
          <w:sz w:val="22"/>
          <w:szCs w:val="22"/>
        </w:rPr>
        <w:t xml:space="preserve"> no Habitacionales con que cuenta el</w:t>
      </w:r>
      <w:r w:rsidRPr="005D12C6">
        <w:rPr>
          <w:sz w:val="22"/>
          <w:szCs w:val="22"/>
        </w:rPr>
        <w:t xml:space="preserve"> Gobierno del Estado de Michoacán, a partir de los años 2022, 2023 y del 1° de enero al 30 de junio 2024,</w:t>
      </w:r>
      <w:r>
        <w:rPr>
          <w:sz w:val="22"/>
          <w:szCs w:val="22"/>
        </w:rPr>
        <w:t xml:space="preserve"> y que habían estado registrándose previamente con motivo de la actualización al patrimonio,</w:t>
      </w:r>
      <w:r w:rsidRPr="005D12C6">
        <w:rPr>
          <w:sz w:val="22"/>
          <w:szCs w:val="22"/>
        </w:rPr>
        <w:t xml:space="preserve"> afectándose la cuenta contable 1261201000 (Depreciación Acumulada de Edificios no Residenciales para usos propios</w:t>
      </w:r>
      <w:r>
        <w:rPr>
          <w:sz w:val="22"/>
          <w:szCs w:val="22"/>
        </w:rPr>
        <w:t>)</w:t>
      </w:r>
      <w:r w:rsidRPr="006D40AB">
        <w:rPr>
          <w:sz w:val="22"/>
          <w:szCs w:val="22"/>
        </w:rPr>
        <w:t>.</w:t>
      </w:r>
      <w:r w:rsidRPr="005D12C6">
        <w:rPr>
          <w:sz w:val="22"/>
          <w:szCs w:val="22"/>
        </w:rPr>
        <w:t xml:space="preserve">   </w:t>
      </w:r>
    </w:p>
    <w:p w14:paraId="2FBB3371" w14:textId="77777777" w:rsidR="00282840" w:rsidRDefault="00282840" w:rsidP="009147AD">
      <w:pPr>
        <w:rPr>
          <w:sz w:val="22"/>
          <w:szCs w:val="22"/>
        </w:rPr>
      </w:pPr>
    </w:p>
    <w:p w14:paraId="0AEBB4B1" w14:textId="77777777" w:rsidR="00282840" w:rsidRDefault="00282840" w:rsidP="00282840">
      <w:pPr>
        <w:rPr>
          <w:sz w:val="22"/>
          <w:szCs w:val="22"/>
        </w:rPr>
      </w:pPr>
      <w:r w:rsidRPr="005D12C6">
        <w:rPr>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0F7F9444" w14:textId="77777777" w:rsidR="00282840" w:rsidRPr="005D12C6" w:rsidRDefault="00282840" w:rsidP="00282840">
      <w:pPr>
        <w:rPr>
          <w:sz w:val="22"/>
          <w:szCs w:val="22"/>
        </w:rPr>
      </w:pPr>
    </w:p>
    <w:p w14:paraId="2C679D64" w14:textId="77777777" w:rsidR="00282840" w:rsidRDefault="00282840" w:rsidP="00282840">
      <w:pPr>
        <w:rPr>
          <w:sz w:val="22"/>
          <w:szCs w:val="22"/>
        </w:rPr>
      </w:pPr>
      <w:r w:rsidRPr="005D12C6">
        <w:rPr>
          <w:sz w:val="22"/>
          <w:szCs w:val="22"/>
        </w:rPr>
        <w:t>En caso de que un bien se encuentre totalmente depreciado, pero se considera que aún cuenta con vida útil, se determinará el tiempo aproximado de vida útil del bien mueble y se mantendrá en la contabilidad el valor correspondiente.</w:t>
      </w:r>
    </w:p>
    <w:p w14:paraId="1E0DD102" w14:textId="77777777" w:rsidR="00282840" w:rsidRPr="005D12C6" w:rsidRDefault="00282840" w:rsidP="00282840">
      <w:pPr>
        <w:rPr>
          <w:sz w:val="22"/>
          <w:szCs w:val="22"/>
        </w:rPr>
      </w:pPr>
    </w:p>
    <w:p w14:paraId="1317FEBD" w14:textId="77777777" w:rsidR="00282840" w:rsidRDefault="00282840" w:rsidP="00282840">
      <w:pPr>
        <w:rPr>
          <w:sz w:val="22"/>
          <w:szCs w:val="22"/>
        </w:rPr>
      </w:pPr>
      <w:r w:rsidRPr="005D12C6">
        <w:rPr>
          <w:sz w:val="22"/>
          <w:szCs w:val="22"/>
        </w:rPr>
        <w:t>Las obras de arte, animales y terrenos no serán sujetos al proceso de depreciación.</w:t>
      </w:r>
    </w:p>
    <w:p w14:paraId="1A94574E" w14:textId="77777777" w:rsidR="00282840" w:rsidRDefault="00282840" w:rsidP="00282840">
      <w:pPr>
        <w:rPr>
          <w:sz w:val="22"/>
          <w:szCs w:val="22"/>
        </w:rPr>
      </w:pPr>
    </w:p>
    <w:p w14:paraId="47E5F91E" w14:textId="77777777" w:rsidR="00282840" w:rsidRPr="005D12C6" w:rsidRDefault="00282840" w:rsidP="00282840">
      <w:pPr>
        <w:rPr>
          <w:sz w:val="22"/>
          <w:szCs w:val="22"/>
        </w:rPr>
      </w:pPr>
      <w:r>
        <w:rPr>
          <w:sz w:val="22"/>
          <w:szCs w:val="22"/>
        </w:rPr>
        <w:t>Los porcentajes de depreciación se aplican dividiendo los años de vida útil del bien, entre su valor de adquisición, de conformidad con los parámetros establecidos por el Consejo Nacional de Armonización Contable.</w:t>
      </w:r>
    </w:p>
    <w:p w14:paraId="3E2C4CB4" w14:textId="77777777" w:rsidR="009147AD" w:rsidRPr="005D12C6" w:rsidRDefault="009147AD" w:rsidP="00DE559D">
      <w:pPr>
        <w:spacing w:before="0" w:after="0"/>
        <w:rPr>
          <w:sz w:val="22"/>
          <w:szCs w:val="22"/>
        </w:rPr>
      </w:pPr>
    </w:p>
    <w:p w14:paraId="6EB5C3DD" w14:textId="77777777"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b) Cambios en el porcentaje de depreciación o valor residual de los activos.</w:t>
      </w:r>
    </w:p>
    <w:p w14:paraId="69220648"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Pr="005D12C6" w:rsidRDefault="00BD4F6A" w:rsidP="00CD477C">
      <w:pPr>
        <w:spacing w:before="0" w:after="0"/>
        <w:rPr>
          <w:rFonts w:eastAsia="Calibri" w:cs="Times New Roman"/>
          <w:bCs/>
          <w:sz w:val="22"/>
          <w:szCs w:val="22"/>
        </w:rPr>
      </w:pPr>
    </w:p>
    <w:p w14:paraId="1DAC20EF" w14:textId="77777777"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lastRenderedPageBreak/>
        <w:t>c) Importe de los gastos capitalizados en el ejercicio, tanto financieros con de investigación y desarrollo.</w:t>
      </w:r>
    </w:p>
    <w:p w14:paraId="6F7836CE" w14:textId="3D594443"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 xml:space="preserve">Durante </w:t>
      </w:r>
      <w:r w:rsidR="00BF6734" w:rsidRPr="005D12C6">
        <w:rPr>
          <w:rFonts w:eastAsia="Calibri" w:cs="Times New Roman"/>
          <w:bCs/>
          <w:sz w:val="22"/>
          <w:szCs w:val="22"/>
        </w:rPr>
        <w:t xml:space="preserve">el </w:t>
      </w:r>
      <w:r w:rsidR="005C7F9D" w:rsidRPr="005D12C6">
        <w:rPr>
          <w:rFonts w:eastAsia="Calibri" w:cs="Times New Roman"/>
          <w:bCs/>
          <w:color w:val="000000"/>
          <w:sz w:val="22"/>
          <w:szCs w:val="22"/>
        </w:rPr>
        <w:t>segundo</w:t>
      </w:r>
      <w:r w:rsidR="00BF6734" w:rsidRPr="005D12C6">
        <w:rPr>
          <w:rFonts w:eastAsia="Calibri" w:cs="Times New Roman"/>
          <w:bCs/>
          <w:sz w:val="22"/>
          <w:szCs w:val="22"/>
        </w:rPr>
        <w:t xml:space="preserve"> trimestre de 202</w:t>
      </w:r>
      <w:r w:rsidR="000D73E8" w:rsidRPr="005D12C6">
        <w:rPr>
          <w:rFonts w:eastAsia="Calibri" w:cs="Times New Roman"/>
          <w:bCs/>
          <w:sz w:val="22"/>
          <w:szCs w:val="22"/>
        </w:rPr>
        <w:t>4</w:t>
      </w:r>
      <w:r w:rsidRPr="005D12C6">
        <w:rPr>
          <w:rFonts w:eastAsia="Calibri" w:cs="Times New Roman"/>
          <w:bCs/>
          <w:sz w:val="22"/>
          <w:szCs w:val="22"/>
        </w:rPr>
        <w:t xml:space="preserve"> no se ha realizado capitalización de gastos.</w:t>
      </w:r>
    </w:p>
    <w:p w14:paraId="46F17CE5" w14:textId="77777777" w:rsidR="00BF6734" w:rsidRPr="005D12C6" w:rsidRDefault="00BF6734" w:rsidP="00CD477C">
      <w:pPr>
        <w:spacing w:before="0" w:after="0"/>
        <w:rPr>
          <w:rFonts w:eastAsia="Calibri" w:cs="Times New Roman"/>
          <w:b/>
          <w:sz w:val="22"/>
          <w:szCs w:val="22"/>
        </w:rPr>
      </w:pPr>
    </w:p>
    <w:p w14:paraId="0A591167" w14:textId="7C3CE386"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d) Riesgos por tipo de cambio o tipo de interés de las inversiones financieras.</w:t>
      </w:r>
    </w:p>
    <w:p w14:paraId="15FD5B23"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El Gobierno del Estado de Michoacán no realiza inversiones en moneda extranjera ni consideradas de riesgo.</w:t>
      </w:r>
    </w:p>
    <w:p w14:paraId="339E0277" w14:textId="77777777" w:rsidR="00BD4F6A" w:rsidRPr="005D12C6" w:rsidRDefault="00BD4F6A" w:rsidP="00CD477C">
      <w:pPr>
        <w:spacing w:before="0" w:after="0"/>
        <w:rPr>
          <w:rFonts w:eastAsia="Calibri" w:cs="Times New Roman"/>
          <w:bCs/>
          <w:sz w:val="22"/>
          <w:szCs w:val="22"/>
        </w:rPr>
      </w:pPr>
    </w:p>
    <w:p w14:paraId="4FD16446" w14:textId="77777777"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e) Valor activado en el ejercicio de los bienes construidos por la entidad.</w:t>
      </w:r>
    </w:p>
    <w:p w14:paraId="2F00B17D"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No existen datos que informar en este rubro, en el periodo que se informa.</w:t>
      </w:r>
    </w:p>
    <w:p w14:paraId="48A5DD01" w14:textId="33B144C0" w:rsidR="00BD4F6A" w:rsidRPr="005D12C6" w:rsidRDefault="00BD4F6A" w:rsidP="00CD477C">
      <w:pPr>
        <w:spacing w:before="0" w:after="0"/>
        <w:rPr>
          <w:rFonts w:eastAsia="Calibri" w:cs="Times New Roman"/>
          <w:bCs/>
          <w:sz w:val="22"/>
          <w:szCs w:val="22"/>
        </w:rPr>
      </w:pPr>
    </w:p>
    <w:p w14:paraId="1E1C4BFA" w14:textId="1105E40A"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f) Otras circunstancias de carácter significativo que afecten el activo.</w:t>
      </w:r>
    </w:p>
    <w:p w14:paraId="3E9B7CC7"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No existen datos que informar en este rubro, en el periodo que se informa.</w:t>
      </w:r>
    </w:p>
    <w:p w14:paraId="6E0EB8A7" w14:textId="77777777" w:rsidR="00BD4F6A" w:rsidRPr="005D12C6" w:rsidRDefault="00BD4F6A" w:rsidP="00CD477C">
      <w:pPr>
        <w:spacing w:before="0" w:after="0"/>
        <w:rPr>
          <w:rFonts w:eastAsia="Calibri" w:cs="Times New Roman"/>
          <w:b/>
          <w:sz w:val="22"/>
          <w:szCs w:val="22"/>
        </w:rPr>
      </w:pPr>
    </w:p>
    <w:p w14:paraId="45CEE11E" w14:textId="77777777"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 xml:space="preserve">g) Desmantelamiento de Activos. </w:t>
      </w:r>
    </w:p>
    <w:p w14:paraId="2C9F1EE1"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No existen datos que informar en este rubro, en el periodo que se informa.</w:t>
      </w:r>
    </w:p>
    <w:p w14:paraId="6F70758D" w14:textId="77777777" w:rsidR="00BD4F6A" w:rsidRPr="005D12C6" w:rsidRDefault="00BD4F6A" w:rsidP="00CD477C">
      <w:pPr>
        <w:spacing w:before="0" w:after="0"/>
        <w:rPr>
          <w:rFonts w:eastAsia="Calibri" w:cs="Times New Roman"/>
          <w:b/>
          <w:sz w:val="22"/>
          <w:szCs w:val="22"/>
        </w:rPr>
      </w:pPr>
    </w:p>
    <w:p w14:paraId="485A9DEE" w14:textId="77777777" w:rsidR="00BD4F6A" w:rsidRPr="005D12C6" w:rsidRDefault="00BD4F6A" w:rsidP="00CD477C">
      <w:pPr>
        <w:spacing w:before="0" w:after="0"/>
        <w:rPr>
          <w:rFonts w:eastAsia="Calibri" w:cs="Times New Roman"/>
          <w:b/>
          <w:sz w:val="22"/>
          <w:szCs w:val="22"/>
        </w:rPr>
      </w:pPr>
      <w:r w:rsidRPr="005D12C6">
        <w:rPr>
          <w:rFonts w:eastAsia="Calibri" w:cs="Times New Roman"/>
          <w:b/>
          <w:sz w:val="22"/>
          <w:szCs w:val="22"/>
        </w:rPr>
        <w:t>h) Planeación de activos.</w:t>
      </w:r>
    </w:p>
    <w:p w14:paraId="5769891A"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No existen datos que informar en este rubro, en el periodo que se informa.</w:t>
      </w:r>
    </w:p>
    <w:p w14:paraId="7E5F610E" w14:textId="77777777" w:rsidR="00BF6734" w:rsidRPr="005D12C6" w:rsidRDefault="00BF6734" w:rsidP="00CD477C">
      <w:pPr>
        <w:spacing w:before="0" w:after="0"/>
        <w:rPr>
          <w:rFonts w:eastAsia="Calibri" w:cs="Times New Roman"/>
          <w:b/>
          <w:sz w:val="22"/>
          <w:szCs w:val="22"/>
        </w:rPr>
      </w:pPr>
    </w:p>
    <w:p w14:paraId="06BD9BE4" w14:textId="395148B7" w:rsidR="00BD4F6A" w:rsidRPr="005D12C6" w:rsidRDefault="00860C1E" w:rsidP="00CD477C">
      <w:pPr>
        <w:spacing w:before="0" w:after="0"/>
        <w:rPr>
          <w:rFonts w:eastAsia="Calibri" w:cs="Times New Roman"/>
          <w:b/>
          <w:sz w:val="22"/>
          <w:szCs w:val="22"/>
        </w:rPr>
      </w:pPr>
      <w:r w:rsidRPr="005D12C6">
        <w:rPr>
          <w:rFonts w:eastAsia="Calibri" w:cs="Times New Roman"/>
          <w:b/>
          <w:sz w:val="22"/>
          <w:szCs w:val="22"/>
        </w:rPr>
        <w:t>8</w:t>
      </w:r>
      <w:r w:rsidR="00BD4F6A" w:rsidRPr="005D12C6">
        <w:rPr>
          <w:rFonts w:eastAsia="Calibri" w:cs="Times New Roman"/>
          <w:b/>
          <w:sz w:val="22"/>
          <w:szCs w:val="22"/>
        </w:rPr>
        <w:t>. Fideicomisos, Mandatos y Análogos.</w:t>
      </w:r>
    </w:p>
    <w:p w14:paraId="33122D74" w14:textId="77777777" w:rsidR="00BD4F6A" w:rsidRPr="005D12C6" w:rsidRDefault="00BD4F6A" w:rsidP="00CD477C">
      <w:pPr>
        <w:spacing w:before="0" w:after="0"/>
        <w:rPr>
          <w:rFonts w:eastAsia="Calibri" w:cs="Times New Roman"/>
          <w:bCs/>
          <w:sz w:val="22"/>
          <w:szCs w:val="22"/>
        </w:rPr>
      </w:pPr>
      <w:r w:rsidRPr="005D12C6">
        <w:rPr>
          <w:rFonts w:eastAsia="Calibri" w:cs="Times New Roman"/>
          <w:bCs/>
          <w:sz w:val="22"/>
          <w:szCs w:val="22"/>
        </w:rPr>
        <w:t>El gobierno del Estado de Michoacán cuenta con Fideicomisos sectorizados a sus diferentes Dependencias, los cuales se muestran a continuación:</w:t>
      </w:r>
    </w:p>
    <w:p w14:paraId="6FB31093" w14:textId="77777777" w:rsidR="000D73E8" w:rsidRPr="005D12C6" w:rsidRDefault="000D73E8" w:rsidP="00CD477C">
      <w:pPr>
        <w:spacing w:before="0" w:after="0"/>
        <w:rPr>
          <w:rFonts w:eastAsia="Calibri" w:cs="Times New Roman"/>
          <w:bCs/>
          <w:sz w:val="22"/>
          <w:szCs w:val="22"/>
        </w:rPr>
      </w:pPr>
    </w:p>
    <w:p w14:paraId="534A02C9" w14:textId="2A307DEA" w:rsidR="00F72AF6" w:rsidRPr="005D12C6" w:rsidRDefault="000F7AB0" w:rsidP="00CD477C">
      <w:pPr>
        <w:spacing w:before="0" w:after="0"/>
        <w:rPr>
          <w:rFonts w:eastAsia="Calibri" w:cs="Times New Roman"/>
          <w:b/>
          <w:bCs/>
          <w:sz w:val="22"/>
          <w:szCs w:val="22"/>
        </w:rPr>
      </w:pPr>
      <w:r w:rsidRPr="005D12C6">
        <w:rPr>
          <w:rFonts w:eastAsia="Calibri" w:cs="Times New Roman"/>
          <w:b/>
          <w:bCs/>
          <w:sz w:val="22"/>
          <w:szCs w:val="22"/>
        </w:rPr>
        <w:t>a) Por ramo administrativo que los reporta.</w:t>
      </w:r>
    </w:p>
    <w:p w14:paraId="4A4BD173" w14:textId="77777777" w:rsidR="00C24CC7" w:rsidRPr="005D12C6" w:rsidRDefault="00C24CC7" w:rsidP="00CD477C">
      <w:pPr>
        <w:spacing w:before="0" w:after="0"/>
        <w:rPr>
          <w:rFonts w:eastAsia="Calibri" w:cs="Times New Roman"/>
          <w:b/>
          <w:bCs/>
          <w:sz w:val="22"/>
          <w:szCs w:val="22"/>
        </w:rPr>
      </w:pPr>
    </w:p>
    <w:p w14:paraId="5F2040BE" w14:textId="77777777" w:rsidR="00C24CC7" w:rsidRPr="005D12C6" w:rsidRDefault="00C24CC7" w:rsidP="00CD477C">
      <w:pPr>
        <w:spacing w:before="0" w:after="0"/>
        <w:rPr>
          <w:rFonts w:eastAsia="Calibri" w:cs="Times New Roman"/>
          <w:b/>
          <w:bCs/>
          <w:sz w:val="22"/>
          <w:szCs w:val="22"/>
        </w:rPr>
      </w:pPr>
    </w:p>
    <w:p w14:paraId="18EF0C23" w14:textId="7C717360" w:rsidR="00C24CC7" w:rsidRPr="005D12C6" w:rsidRDefault="002E34EB" w:rsidP="002E34EB">
      <w:pPr>
        <w:spacing w:before="0" w:after="0"/>
        <w:jc w:val="center"/>
        <w:rPr>
          <w:rFonts w:eastAsia="Calibri" w:cs="Times New Roman"/>
          <w:b/>
          <w:bCs/>
          <w:sz w:val="22"/>
          <w:szCs w:val="22"/>
        </w:rPr>
      </w:pPr>
      <w:r w:rsidRPr="005D12C6">
        <w:rPr>
          <w:noProof/>
          <w:lang w:val="es-MX" w:eastAsia="es-MX"/>
        </w:rPr>
        <w:lastRenderedPageBreak/>
        <w:drawing>
          <wp:inline distT="0" distB="0" distL="0" distR="0" wp14:anchorId="073B42DD" wp14:editId="708D6BE7">
            <wp:extent cx="6270840" cy="6170213"/>
            <wp:effectExtent l="0" t="0" r="0" b="2540"/>
            <wp:docPr id="1981202179" name="Imagen 19812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550" cy="6231917"/>
                    </a:xfrm>
                    <a:prstGeom prst="rect">
                      <a:avLst/>
                    </a:prstGeom>
                    <a:noFill/>
                    <a:ln>
                      <a:noFill/>
                    </a:ln>
                  </pic:spPr>
                </pic:pic>
              </a:graphicData>
            </a:graphic>
          </wp:inline>
        </w:drawing>
      </w:r>
    </w:p>
    <w:p w14:paraId="5959B5DB" w14:textId="5D563D95" w:rsidR="00F72AF6" w:rsidRPr="005D12C6" w:rsidRDefault="00F7510F" w:rsidP="002E34EB">
      <w:pPr>
        <w:spacing w:before="0" w:after="0"/>
        <w:jc w:val="center"/>
        <w:rPr>
          <w:rFonts w:eastAsia="Calibri" w:cs="Times New Roman"/>
          <w:b/>
          <w:bCs/>
          <w:sz w:val="22"/>
          <w:szCs w:val="22"/>
        </w:rPr>
      </w:pPr>
      <w:r w:rsidRPr="005D12C6">
        <w:rPr>
          <w:noProof/>
          <w:lang w:val="es-MX" w:eastAsia="es-MX"/>
        </w:rPr>
        <w:lastRenderedPageBreak/>
        <w:drawing>
          <wp:inline distT="0" distB="0" distL="0" distR="0" wp14:anchorId="39B6CB50" wp14:editId="4467009A">
            <wp:extent cx="6440557" cy="8228795"/>
            <wp:effectExtent l="0" t="0" r="0" b="1270"/>
            <wp:docPr id="1981202182" name="Imagen 19812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7691" cy="8289016"/>
                    </a:xfrm>
                    <a:prstGeom prst="rect">
                      <a:avLst/>
                    </a:prstGeom>
                    <a:noFill/>
                    <a:ln>
                      <a:noFill/>
                    </a:ln>
                  </pic:spPr>
                </pic:pic>
              </a:graphicData>
            </a:graphic>
          </wp:inline>
        </w:drawing>
      </w:r>
    </w:p>
    <w:p w14:paraId="61A26E6B" w14:textId="215B35A7" w:rsidR="00F72AF6" w:rsidRPr="005D12C6" w:rsidRDefault="00F7510F" w:rsidP="00EF4AE7">
      <w:pPr>
        <w:spacing w:before="0" w:after="0"/>
        <w:jc w:val="center"/>
        <w:rPr>
          <w:rFonts w:eastAsia="Calibri" w:cs="Times New Roman"/>
          <w:b/>
          <w:bCs/>
          <w:sz w:val="22"/>
          <w:szCs w:val="22"/>
        </w:rPr>
      </w:pPr>
      <w:r w:rsidRPr="005D12C6">
        <w:rPr>
          <w:noProof/>
          <w:lang w:val="es-MX" w:eastAsia="es-MX"/>
        </w:rPr>
        <w:lastRenderedPageBreak/>
        <w:drawing>
          <wp:inline distT="0" distB="0" distL="0" distR="0" wp14:anchorId="4E7985D1" wp14:editId="161E28D5">
            <wp:extent cx="6376946" cy="7965440"/>
            <wp:effectExtent l="0" t="0" r="5080" b="0"/>
            <wp:docPr id="1981202183" name="Imagen 19812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9733" cy="8006395"/>
                    </a:xfrm>
                    <a:prstGeom prst="rect">
                      <a:avLst/>
                    </a:prstGeom>
                    <a:noFill/>
                    <a:ln>
                      <a:noFill/>
                    </a:ln>
                  </pic:spPr>
                </pic:pic>
              </a:graphicData>
            </a:graphic>
          </wp:inline>
        </w:drawing>
      </w:r>
    </w:p>
    <w:p w14:paraId="2C0C5759" w14:textId="053D56E2" w:rsidR="00AD18D1" w:rsidRPr="005D12C6" w:rsidRDefault="00AD18D1" w:rsidP="00CD477C">
      <w:pPr>
        <w:spacing w:before="0" w:after="0"/>
        <w:rPr>
          <w:rFonts w:eastAsia="Calibri" w:cs="Times New Roman"/>
          <w:b/>
          <w:bCs/>
          <w:sz w:val="22"/>
          <w:szCs w:val="22"/>
        </w:rPr>
      </w:pPr>
    </w:p>
    <w:p w14:paraId="6305FE61" w14:textId="687B3A81" w:rsidR="00F7510F" w:rsidRPr="005D12C6" w:rsidRDefault="00621ACC" w:rsidP="007651E1">
      <w:pPr>
        <w:spacing w:before="0" w:after="0"/>
        <w:jc w:val="center"/>
        <w:rPr>
          <w:rFonts w:eastAsia="Calibri" w:cs="Times New Roman"/>
          <w:b/>
          <w:bCs/>
          <w:sz w:val="22"/>
          <w:szCs w:val="22"/>
        </w:rPr>
      </w:pPr>
      <w:r w:rsidRPr="005D12C6">
        <w:rPr>
          <w:noProof/>
          <w:lang w:val="es-MX" w:eastAsia="es-MX"/>
        </w:rPr>
        <w:lastRenderedPageBreak/>
        <w:drawing>
          <wp:inline distT="0" distB="0" distL="0" distR="0" wp14:anchorId="70C399F6" wp14:editId="132DA0EC">
            <wp:extent cx="5796501" cy="8190865"/>
            <wp:effectExtent l="0" t="0" r="0" b="0"/>
            <wp:docPr id="107754574" name="Imagen 1077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7088" cy="8205826"/>
                    </a:xfrm>
                    <a:prstGeom prst="rect">
                      <a:avLst/>
                    </a:prstGeom>
                    <a:noFill/>
                    <a:ln>
                      <a:noFill/>
                    </a:ln>
                  </pic:spPr>
                </pic:pic>
              </a:graphicData>
            </a:graphic>
          </wp:inline>
        </w:drawing>
      </w:r>
    </w:p>
    <w:p w14:paraId="77FCAC99" w14:textId="2CA236D1" w:rsidR="00F7510F" w:rsidRPr="005D12C6" w:rsidRDefault="00621ACC" w:rsidP="00F7510F">
      <w:pPr>
        <w:spacing w:before="0" w:after="0"/>
        <w:jc w:val="center"/>
        <w:rPr>
          <w:rFonts w:eastAsia="Calibri" w:cs="Times New Roman"/>
          <w:b/>
          <w:bCs/>
          <w:sz w:val="22"/>
          <w:szCs w:val="22"/>
        </w:rPr>
      </w:pPr>
      <w:r w:rsidRPr="005D12C6">
        <w:rPr>
          <w:noProof/>
          <w:lang w:val="es-MX" w:eastAsia="es-MX"/>
        </w:rPr>
        <w:lastRenderedPageBreak/>
        <w:drawing>
          <wp:inline distT="0" distB="0" distL="0" distR="0" wp14:anchorId="2631198E" wp14:editId="306F5069">
            <wp:extent cx="6114553" cy="7832090"/>
            <wp:effectExtent l="0" t="0" r="635" b="0"/>
            <wp:docPr id="107754582" name="Imagen 10775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290" cy="7862494"/>
                    </a:xfrm>
                    <a:prstGeom prst="rect">
                      <a:avLst/>
                    </a:prstGeom>
                    <a:noFill/>
                    <a:ln>
                      <a:noFill/>
                    </a:ln>
                  </pic:spPr>
                </pic:pic>
              </a:graphicData>
            </a:graphic>
          </wp:inline>
        </w:drawing>
      </w:r>
    </w:p>
    <w:p w14:paraId="059781AB" w14:textId="77777777" w:rsidR="007D4F50" w:rsidRPr="005D12C6" w:rsidRDefault="007D4F50" w:rsidP="008C683A">
      <w:pPr>
        <w:spacing w:before="0" w:after="0"/>
        <w:rPr>
          <w:rFonts w:eastAsia="Calibri" w:cs="Times New Roman"/>
          <w:bCs/>
          <w:sz w:val="22"/>
          <w:szCs w:val="22"/>
        </w:rPr>
      </w:pPr>
    </w:p>
    <w:p w14:paraId="205636BE" w14:textId="77777777" w:rsidR="007D4F50" w:rsidRPr="005D12C6" w:rsidRDefault="007D4F50" w:rsidP="008C683A">
      <w:pPr>
        <w:spacing w:before="0" w:after="0"/>
        <w:rPr>
          <w:rFonts w:eastAsia="Calibri" w:cs="Times New Roman"/>
          <w:bCs/>
          <w:sz w:val="22"/>
          <w:szCs w:val="22"/>
        </w:rPr>
      </w:pPr>
    </w:p>
    <w:p w14:paraId="311E125C" w14:textId="2D500A8D" w:rsidR="00F7510F" w:rsidRPr="005D12C6" w:rsidRDefault="00125091" w:rsidP="008C683A">
      <w:pPr>
        <w:spacing w:before="0" w:after="0"/>
        <w:rPr>
          <w:rFonts w:eastAsia="Calibri" w:cs="Times New Roman"/>
          <w:bCs/>
          <w:sz w:val="22"/>
          <w:szCs w:val="22"/>
        </w:rPr>
      </w:pPr>
      <w:r w:rsidRPr="005D12C6">
        <w:rPr>
          <w:rFonts w:eastAsia="Calibri" w:cs="Times New Roman"/>
          <w:bCs/>
          <w:sz w:val="22"/>
          <w:szCs w:val="22"/>
        </w:rPr>
        <w:lastRenderedPageBreak/>
        <w:t xml:space="preserve">b) Enlistar los de mayor monto de disponibilidad, relacionando aquéllos que conforman </w:t>
      </w:r>
      <w:r w:rsidR="00C84C77" w:rsidRPr="005D12C6">
        <w:rPr>
          <w:rFonts w:eastAsia="Calibri" w:cs="Times New Roman"/>
          <w:bCs/>
          <w:sz w:val="22"/>
          <w:szCs w:val="22"/>
        </w:rPr>
        <w:t xml:space="preserve">al menos </w:t>
      </w:r>
      <w:r w:rsidRPr="005D12C6">
        <w:rPr>
          <w:rFonts w:eastAsia="Calibri" w:cs="Times New Roman"/>
          <w:bCs/>
          <w:sz w:val="22"/>
          <w:szCs w:val="22"/>
        </w:rPr>
        <w:t>el 80% de las disponibilidades.</w:t>
      </w:r>
    </w:p>
    <w:p w14:paraId="5C0AFB71" w14:textId="0595DFA7" w:rsidR="008644F7" w:rsidRPr="005D12C6" w:rsidRDefault="008644F7" w:rsidP="008644F7">
      <w:pPr>
        <w:spacing w:before="0" w:after="0"/>
        <w:jc w:val="center"/>
        <w:rPr>
          <w:noProof/>
          <w:lang w:val="es-MX" w:eastAsia="es-MX"/>
        </w:rPr>
      </w:pPr>
      <w:r w:rsidRPr="005D12C6">
        <w:rPr>
          <w:noProof/>
          <w:lang w:val="es-MX" w:eastAsia="es-MX"/>
        </w:rPr>
        <w:drawing>
          <wp:inline distT="0" distB="0" distL="0" distR="0" wp14:anchorId="3B5EAB5C" wp14:editId="320CEEF0">
            <wp:extent cx="5175588" cy="7817327"/>
            <wp:effectExtent l="0" t="0" r="6350" b="0"/>
            <wp:docPr id="74557955" name="Imagen 7455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2059" cy="7842205"/>
                    </a:xfrm>
                    <a:prstGeom prst="rect">
                      <a:avLst/>
                    </a:prstGeom>
                    <a:noFill/>
                    <a:ln>
                      <a:noFill/>
                    </a:ln>
                  </pic:spPr>
                </pic:pic>
              </a:graphicData>
            </a:graphic>
          </wp:inline>
        </w:drawing>
      </w:r>
    </w:p>
    <w:p w14:paraId="59CD1488" w14:textId="09F09060" w:rsidR="00F7510F" w:rsidRPr="005D12C6" w:rsidRDefault="00F7510F" w:rsidP="00F7510F">
      <w:pPr>
        <w:spacing w:before="0" w:after="0"/>
        <w:jc w:val="center"/>
        <w:rPr>
          <w:rFonts w:eastAsia="Calibri" w:cs="Times New Roman"/>
          <w:bCs/>
          <w:sz w:val="22"/>
          <w:szCs w:val="22"/>
        </w:rPr>
      </w:pPr>
    </w:p>
    <w:p w14:paraId="50675C1D" w14:textId="10A58F34" w:rsidR="00BD4F6A" w:rsidRPr="005D12C6" w:rsidRDefault="00D63DFA" w:rsidP="00BD4F6A">
      <w:pPr>
        <w:spacing w:before="0" w:after="0"/>
        <w:rPr>
          <w:rFonts w:eastAsia="Calibri" w:cs="Times New Roman"/>
          <w:b/>
          <w:sz w:val="22"/>
          <w:szCs w:val="22"/>
        </w:rPr>
      </w:pPr>
      <w:r w:rsidRPr="005D12C6">
        <w:rPr>
          <w:rFonts w:eastAsia="Calibri" w:cs="Times New Roman"/>
          <w:b/>
          <w:sz w:val="22"/>
          <w:szCs w:val="22"/>
        </w:rPr>
        <w:t>9</w:t>
      </w:r>
      <w:r w:rsidR="00BD4F6A" w:rsidRPr="005D12C6">
        <w:rPr>
          <w:rFonts w:eastAsia="Calibri" w:cs="Times New Roman"/>
          <w:b/>
          <w:sz w:val="22"/>
          <w:szCs w:val="22"/>
        </w:rPr>
        <w:t>. Reporte de la Recaudación</w:t>
      </w:r>
    </w:p>
    <w:p w14:paraId="5E44CE3B" w14:textId="77777777" w:rsidR="00CD2C3B" w:rsidRPr="005D12C6" w:rsidRDefault="00CD2C3B" w:rsidP="00CD2C3B">
      <w:pPr>
        <w:pStyle w:val="Prrafodelista"/>
        <w:widowControl/>
        <w:numPr>
          <w:ilvl w:val="0"/>
          <w:numId w:val="29"/>
        </w:numPr>
        <w:kinsoku/>
        <w:spacing w:after="160" w:line="360" w:lineRule="auto"/>
        <w:jc w:val="both"/>
        <w:rPr>
          <w:rFonts w:ascii="GalanoGrotesque-Light" w:eastAsia="Calibri" w:hAnsi="GalanoGrotesque-Light"/>
          <w:b/>
          <w:sz w:val="22"/>
          <w:szCs w:val="22"/>
          <w:lang w:val="es-ES" w:eastAsia="en-US"/>
        </w:rPr>
      </w:pPr>
      <w:r w:rsidRPr="005D12C6">
        <w:rPr>
          <w:rFonts w:ascii="GalanoGrotesque-Light" w:eastAsia="Calibri" w:hAnsi="GalanoGrotesque-Light"/>
          <w:b/>
          <w:sz w:val="22"/>
          <w:szCs w:val="22"/>
          <w:lang w:val="es-ES" w:eastAsia="en-US"/>
        </w:rPr>
        <w:t>Análisis del comportamiento de la recaudación</w:t>
      </w:r>
    </w:p>
    <w:p w14:paraId="10A89716" w14:textId="77777777" w:rsidR="00CD2C3B" w:rsidRPr="005D12C6" w:rsidRDefault="00CD2C3B" w:rsidP="00CD2C3B">
      <w:pPr>
        <w:pStyle w:val="Prrafodelista"/>
        <w:spacing w:line="360" w:lineRule="auto"/>
        <w:jc w:val="both"/>
        <w:rPr>
          <w:rFonts w:ascii="GalanoGrotesque-Light" w:eastAsia="Calibri" w:hAnsi="GalanoGrotesque-Light"/>
          <w:b/>
          <w:sz w:val="22"/>
          <w:szCs w:val="22"/>
          <w:lang w:val="es-ES" w:eastAsia="en-US"/>
        </w:rPr>
      </w:pPr>
    </w:p>
    <w:p w14:paraId="2EB8DED1" w14:textId="77777777" w:rsidR="00CD2C3B" w:rsidRPr="005D12C6" w:rsidRDefault="00CD2C3B" w:rsidP="00CD2C3B">
      <w:pPr>
        <w:pStyle w:val="Prrafodelista"/>
        <w:widowControl/>
        <w:numPr>
          <w:ilvl w:val="0"/>
          <w:numId w:val="30"/>
        </w:numPr>
        <w:kinsoku/>
        <w:spacing w:after="160" w:line="360" w:lineRule="auto"/>
        <w:jc w:val="both"/>
        <w:rPr>
          <w:rFonts w:ascii="GalanoGrotesque-Light" w:eastAsia="Calibri" w:hAnsi="GalanoGrotesque-Light"/>
          <w:b/>
          <w:sz w:val="22"/>
          <w:szCs w:val="22"/>
          <w:lang w:val="es-ES" w:eastAsia="en-US"/>
        </w:rPr>
      </w:pPr>
      <w:r w:rsidRPr="005D12C6">
        <w:rPr>
          <w:rFonts w:ascii="GalanoGrotesque-Light" w:eastAsia="Calibri" w:hAnsi="GalanoGrotesque-Light"/>
          <w:b/>
          <w:sz w:val="22"/>
          <w:szCs w:val="22"/>
          <w:lang w:val="es-ES" w:eastAsia="en-US"/>
        </w:rPr>
        <w:t>Ingresos de Fuentes Locales</w:t>
      </w:r>
    </w:p>
    <w:p w14:paraId="0548B7C5" w14:textId="5854F655" w:rsidR="00CD2C3B" w:rsidRPr="005D12C6" w:rsidRDefault="00CD2C3B" w:rsidP="00CD2C3B">
      <w:pPr>
        <w:rPr>
          <w:rFonts w:eastAsia="Calibri" w:cs="Times New Roman"/>
          <w:sz w:val="22"/>
          <w:szCs w:val="22"/>
        </w:rPr>
      </w:pPr>
      <w:r w:rsidRPr="005D12C6">
        <w:rPr>
          <w:rFonts w:eastAsia="Calibri" w:cs="Times New Roman"/>
          <w:sz w:val="22"/>
          <w:szCs w:val="22"/>
        </w:rPr>
        <w:t>Para 2024, la estimación total de ingresos fue de 95 mil 471 millones, 978 mil 325 pesos; en este ejercicio la proporción de ingresos locales estimados subió a 6.62</w:t>
      </w:r>
      <w:r w:rsidR="00584993" w:rsidRPr="005D12C6">
        <w:rPr>
          <w:rFonts w:eastAsia="Calibri" w:cs="Times New Roman"/>
          <w:sz w:val="22"/>
          <w:szCs w:val="22"/>
        </w:rPr>
        <w:t>%</w:t>
      </w:r>
      <w:r w:rsidRPr="005D12C6">
        <w:rPr>
          <w:rFonts w:eastAsia="Calibri" w:cs="Times New Roman"/>
          <w:sz w:val="22"/>
          <w:szCs w:val="22"/>
        </w:rPr>
        <w:t xml:space="preserve">, respecto al ejercicio 2023, impulsado por un esfuerzo en las acciones de fiscalización por adeudos pendientes de impuestos y derechos, así como la recuperación de patrimonio por la liquidación del Fideicomiso de la Isla de la Palma; mientras que los ingresos federales representaron un </w:t>
      </w:r>
      <w:r w:rsidR="00584993" w:rsidRPr="005D12C6">
        <w:rPr>
          <w:rFonts w:eastAsia="Calibri" w:cs="Times New Roman"/>
          <w:sz w:val="22"/>
          <w:szCs w:val="22"/>
        </w:rPr>
        <w:t>93.38%.</w:t>
      </w:r>
    </w:p>
    <w:p w14:paraId="51BEAAC0" w14:textId="77777777" w:rsidR="00CD2C3B" w:rsidRPr="005D12C6" w:rsidRDefault="00CD2C3B" w:rsidP="00CD2C3B">
      <w:pPr>
        <w:jc w:val="center"/>
        <w:rPr>
          <w:rFonts w:eastAsia="Calibri" w:cs="Times New Roman"/>
          <w:sz w:val="22"/>
          <w:szCs w:val="22"/>
        </w:rPr>
      </w:pPr>
    </w:p>
    <w:p w14:paraId="1AA96BB5" w14:textId="3B651BB0" w:rsidR="00CD2C3B" w:rsidRPr="005D12C6" w:rsidRDefault="00CD2C3B" w:rsidP="00CD2C3B">
      <w:pPr>
        <w:rPr>
          <w:rFonts w:eastAsia="Calibri" w:cs="Times New Roman"/>
          <w:sz w:val="22"/>
          <w:szCs w:val="22"/>
        </w:rPr>
      </w:pPr>
      <w:r w:rsidRPr="005D12C6">
        <w:rPr>
          <w:rFonts w:eastAsia="Calibri" w:cs="Times New Roman"/>
          <w:sz w:val="22"/>
          <w:szCs w:val="22"/>
        </w:rPr>
        <w:t>En materia de impuestos, el Impuesto sobre Nómina representa la mayor fuente recaudatoria con el 92</w:t>
      </w:r>
      <w:r w:rsidR="00CE7960" w:rsidRPr="005D12C6">
        <w:rPr>
          <w:rFonts w:eastAsia="Calibri" w:cs="Times New Roman"/>
          <w:sz w:val="22"/>
          <w:szCs w:val="22"/>
        </w:rPr>
        <w:t>%</w:t>
      </w:r>
      <w:r w:rsidRPr="005D12C6">
        <w:rPr>
          <w:rFonts w:eastAsia="Calibri" w:cs="Times New Roman"/>
          <w:sz w:val="22"/>
          <w:szCs w:val="22"/>
        </w:rPr>
        <w:t xml:space="preserve"> respecto a los impuestos y un 42</w:t>
      </w:r>
      <w:r w:rsidR="00CE7960" w:rsidRPr="005D12C6">
        <w:rPr>
          <w:rFonts w:eastAsia="Calibri" w:cs="Times New Roman"/>
          <w:sz w:val="22"/>
          <w:szCs w:val="22"/>
        </w:rPr>
        <w:t>%</w:t>
      </w:r>
      <w:r w:rsidRPr="005D12C6">
        <w:rPr>
          <w:rFonts w:eastAsia="Calibri" w:cs="Times New Roman"/>
          <w:sz w:val="22"/>
          <w:szCs w:val="22"/>
        </w:rPr>
        <w:t xml:space="preserve"> respecto al total de ingresos propios, cerrando el segundo trimestre en 1</w:t>
      </w:r>
      <w:r w:rsidR="00CE7960" w:rsidRPr="005D12C6">
        <w:rPr>
          <w:rFonts w:eastAsia="Calibri" w:cs="Times New Roman"/>
          <w:sz w:val="22"/>
          <w:szCs w:val="22"/>
        </w:rPr>
        <w:t xml:space="preserve"> mil </w:t>
      </w:r>
      <w:r w:rsidRPr="005D12C6">
        <w:rPr>
          <w:rFonts w:eastAsia="Calibri" w:cs="Times New Roman"/>
          <w:sz w:val="22"/>
          <w:szCs w:val="22"/>
        </w:rPr>
        <w:t>714 millones 912 mil 404 pesos, lo</w:t>
      </w:r>
      <w:r w:rsidR="00CE7960" w:rsidRPr="005D12C6">
        <w:rPr>
          <w:rFonts w:eastAsia="Calibri" w:cs="Times New Roman"/>
          <w:sz w:val="22"/>
          <w:szCs w:val="22"/>
        </w:rPr>
        <w:t xml:space="preserve"> que representa un avance de 65%</w:t>
      </w:r>
      <w:r w:rsidRPr="005D12C6">
        <w:rPr>
          <w:rFonts w:eastAsia="Calibri" w:cs="Times New Roman"/>
          <w:sz w:val="22"/>
          <w:szCs w:val="22"/>
        </w:rPr>
        <w:t xml:space="preserve"> respecto al total programado en la Ley de Ingresos, consolidando la recaudación de los contribuyentes del sector privado y la de adeudos pendientes del sector público estatal.</w:t>
      </w:r>
    </w:p>
    <w:p w14:paraId="7095BE11" w14:textId="77777777" w:rsidR="00CD2C3B" w:rsidRPr="005D12C6" w:rsidRDefault="00CD2C3B" w:rsidP="00CD2C3B">
      <w:pPr>
        <w:rPr>
          <w:rFonts w:eastAsia="Calibri" w:cs="Times New Roman"/>
          <w:sz w:val="22"/>
          <w:szCs w:val="22"/>
        </w:rPr>
      </w:pPr>
    </w:p>
    <w:p w14:paraId="3BA97EAC" w14:textId="680EB570" w:rsidR="00CD2C3B" w:rsidRPr="005D12C6" w:rsidRDefault="00CD2C3B" w:rsidP="00CD2C3B">
      <w:pPr>
        <w:rPr>
          <w:rFonts w:eastAsia="Calibri" w:cs="Times New Roman"/>
          <w:sz w:val="22"/>
          <w:szCs w:val="22"/>
        </w:rPr>
      </w:pPr>
      <w:r w:rsidRPr="005D12C6">
        <w:rPr>
          <w:rFonts w:eastAsia="Calibri" w:cs="Times New Roman"/>
          <w:sz w:val="22"/>
          <w:szCs w:val="22"/>
        </w:rPr>
        <w:t>La recaudación de Derechos correspondientes a Servicios de Transporte Particular representó el 77</w:t>
      </w:r>
      <w:r w:rsidR="00CE7960" w:rsidRPr="005D12C6">
        <w:rPr>
          <w:rFonts w:eastAsia="Calibri" w:cs="Times New Roman"/>
          <w:sz w:val="22"/>
          <w:szCs w:val="22"/>
        </w:rPr>
        <w:t>%</w:t>
      </w:r>
      <w:r w:rsidRPr="005D12C6">
        <w:rPr>
          <w:rFonts w:eastAsia="Calibri" w:cs="Times New Roman"/>
          <w:sz w:val="22"/>
          <w:szCs w:val="22"/>
        </w:rPr>
        <w:t xml:space="preserve"> del total de los Derechos por Prestación de Servicios Estatales y un 76</w:t>
      </w:r>
      <w:r w:rsidR="00CE7960" w:rsidRPr="005D12C6">
        <w:rPr>
          <w:rFonts w:eastAsia="Calibri" w:cs="Times New Roman"/>
          <w:sz w:val="22"/>
          <w:szCs w:val="22"/>
        </w:rPr>
        <w:t>%</w:t>
      </w:r>
      <w:r w:rsidRPr="005D12C6">
        <w:rPr>
          <w:rFonts w:eastAsia="Calibri" w:cs="Times New Roman"/>
          <w:sz w:val="22"/>
          <w:szCs w:val="22"/>
        </w:rPr>
        <w:t xml:space="preserve"> de su meta programada. Se promovieron diversos esquemas para facilitar el pago del refrendo vehicular digital en línea, particularmente durante el mes de abril que venció el período de pago regular establecido por la Ley de Hacienda del Estado, lo cual concentró la recaudación en ese mes.</w:t>
      </w:r>
    </w:p>
    <w:p w14:paraId="706D66EC" w14:textId="77777777" w:rsidR="00CD2C3B" w:rsidRPr="005D12C6" w:rsidRDefault="00CD2C3B" w:rsidP="00CD2C3B">
      <w:pPr>
        <w:rPr>
          <w:rFonts w:eastAsia="Calibri" w:cs="Times New Roman"/>
          <w:sz w:val="22"/>
          <w:szCs w:val="22"/>
        </w:rPr>
      </w:pPr>
    </w:p>
    <w:p w14:paraId="30124ECA" w14:textId="77777777" w:rsidR="00CD2C3B" w:rsidRPr="005D12C6" w:rsidRDefault="00CD2C3B" w:rsidP="00CD2C3B">
      <w:pPr>
        <w:rPr>
          <w:rFonts w:eastAsia="Calibri" w:cs="Times New Roman"/>
          <w:sz w:val="22"/>
          <w:szCs w:val="22"/>
        </w:rPr>
      </w:pPr>
      <w:r w:rsidRPr="005D12C6">
        <w:rPr>
          <w:rFonts w:eastAsia="Calibri" w:cs="Times New Roman"/>
          <w:sz w:val="22"/>
          <w:szCs w:val="22"/>
        </w:rPr>
        <w:t>En materia de Productos, la persistencia de altos niveles en las tasas de interés impulsó la obtención de elevados rendimientos de capital y valores hacia el segundo trimestre.</w:t>
      </w:r>
    </w:p>
    <w:p w14:paraId="49657A51" w14:textId="77777777" w:rsidR="00CD2C3B" w:rsidRPr="005D12C6" w:rsidRDefault="00CD2C3B" w:rsidP="00CD2C3B">
      <w:pPr>
        <w:rPr>
          <w:rFonts w:eastAsia="Calibri" w:cs="Times New Roman"/>
          <w:sz w:val="22"/>
          <w:szCs w:val="22"/>
        </w:rPr>
      </w:pPr>
    </w:p>
    <w:p w14:paraId="55125495" w14:textId="63243342" w:rsidR="00CD2C3B" w:rsidRPr="005D12C6" w:rsidRDefault="00CD2C3B" w:rsidP="00CD2C3B">
      <w:pPr>
        <w:rPr>
          <w:rFonts w:eastAsia="Calibri" w:cs="Times New Roman"/>
          <w:sz w:val="22"/>
          <w:szCs w:val="22"/>
        </w:rPr>
      </w:pPr>
      <w:r w:rsidRPr="005D12C6">
        <w:rPr>
          <w:rFonts w:eastAsia="Calibri" w:cs="Times New Roman"/>
          <w:sz w:val="22"/>
          <w:szCs w:val="22"/>
        </w:rPr>
        <w:lastRenderedPageBreak/>
        <w:t>Dentro de los Aprovechamientos, se tiene un avance del 40</w:t>
      </w:r>
      <w:r w:rsidR="00CE7960" w:rsidRPr="005D12C6">
        <w:rPr>
          <w:rFonts w:eastAsia="Calibri" w:cs="Times New Roman"/>
          <w:sz w:val="22"/>
          <w:szCs w:val="22"/>
        </w:rPr>
        <w:t>%</w:t>
      </w:r>
      <w:r w:rsidRPr="005D12C6">
        <w:rPr>
          <w:rFonts w:eastAsia="Calibri" w:cs="Times New Roman"/>
          <w:sz w:val="22"/>
          <w:szCs w:val="22"/>
        </w:rPr>
        <w:t>, debido a la naturaleza de la programación de estos ingresos, concentrándose la estimación hacia el último trimestre del año.</w:t>
      </w:r>
    </w:p>
    <w:p w14:paraId="3B43CC32" w14:textId="77777777" w:rsidR="00CD2C3B" w:rsidRPr="005D12C6" w:rsidRDefault="00CD2C3B" w:rsidP="00CD2C3B">
      <w:pPr>
        <w:rPr>
          <w:rFonts w:eastAsia="Calibri" w:cs="Times New Roman"/>
          <w:b/>
          <w:sz w:val="22"/>
          <w:szCs w:val="22"/>
        </w:rPr>
      </w:pPr>
    </w:p>
    <w:p w14:paraId="32FD5B81" w14:textId="77777777" w:rsidR="00CD2C3B" w:rsidRPr="005D12C6" w:rsidRDefault="00CD2C3B" w:rsidP="00CD2C3B">
      <w:pPr>
        <w:pStyle w:val="Prrafodelista"/>
        <w:widowControl/>
        <w:numPr>
          <w:ilvl w:val="0"/>
          <w:numId w:val="30"/>
        </w:numPr>
        <w:kinsoku/>
        <w:spacing w:after="160" w:line="360" w:lineRule="auto"/>
        <w:jc w:val="both"/>
        <w:rPr>
          <w:rFonts w:ascii="GalanoGrotesque-Light" w:eastAsia="Calibri" w:hAnsi="GalanoGrotesque-Light"/>
          <w:b/>
          <w:sz w:val="22"/>
          <w:szCs w:val="22"/>
          <w:lang w:val="es-ES" w:eastAsia="en-US"/>
        </w:rPr>
      </w:pPr>
      <w:r w:rsidRPr="005D12C6">
        <w:rPr>
          <w:rFonts w:ascii="GalanoGrotesque-Light" w:eastAsia="Calibri" w:hAnsi="GalanoGrotesque-Light"/>
          <w:b/>
          <w:sz w:val="22"/>
          <w:szCs w:val="22"/>
          <w:lang w:val="es-ES" w:eastAsia="en-US"/>
        </w:rPr>
        <w:t>Ingresos de Fuentes Federales</w:t>
      </w:r>
    </w:p>
    <w:p w14:paraId="3CAC2653" w14:textId="1CE85FEF" w:rsidR="00CD2C3B" w:rsidRPr="005D12C6" w:rsidRDefault="00CD2C3B" w:rsidP="00CD2C3B">
      <w:pPr>
        <w:rPr>
          <w:rFonts w:eastAsia="Calibri" w:cs="Times New Roman"/>
          <w:sz w:val="22"/>
          <w:szCs w:val="22"/>
        </w:rPr>
      </w:pPr>
      <w:r w:rsidRPr="005D12C6">
        <w:rPr>
          <w:rFonts w:eastAsia="Calibri" w:cs="Times New Roman"/>
          <w:sz w:val="22"/>
          <w:szCs w:val="22"/>
        </w:rPr>
        <w:t>Las Participaciones Federales han hilado una tendencia positiva durante el primero y segundo trimestre respecto a lo programado en Ley de Ingresos 2024 y en el “Acuerdo por el que se da a conocer a los gobiernos de las entidades federativas la distribución y calendarización para la ministración, durante el ejercicio fiscal de 2024, de los recursos correspondientes a los ramos generales 28 Participaciones a Entidades Federativas y Municipios y 33 Aportaciones Federales para Entidades Federativas y Municipios”. Lo anterior en función del comportamiento estacional de la Recaudación Federal Participable (RFP), que suele ser elevada en el primer cuatrimestre de cada ejercicio. En ese sentido, los recursos recibidos de participaciones ascendieron a 23 mil 294 millones 338 mil 382 pesos, represent</w:t>
      </w:r>
      <w:r w:rsidR="00CE7960" w:rsidRPr="005D12C6">
        <w:rPr>
          <w:rFonts w:eastAsia="Calibri" w:cs="Times New Roman"/>
          <w:sz w:val="22"/>
          <w:szCs w:val="22"/>
        </w:rPr>
        <w:t>ando un avance del 57%</w:t>
      </w:r>
      <w:r w:rsidRPr="005D12C6">
        <w:rPr>
          <w:rFonts w:eastAsia="Calibri" w:cs="Times New Roman"/>
          <w:sz w:val="22"/>
          <w:szCs w:val="22"/>
        </w:rPr>
        <w:t xml:space="preserve"> respecto a lo programado.</w:t>
      </w:r>
    </w:p>
    <w:p w14:paraId="0703D1E8" w14:textId="77777777" w:rsidR="00CD2C3B" w:rsidRPr="005D12C6" w:rsidRDefault="00CD2C3B" w:rsidP="00CD2C3B">
      <w:pPr>
        <w:rPr>
          <w:rFonts w:eastAsia="Calibri" w:cs="Times New Roman"/>
          <w:sz w:val="22"/>
          <w:szCs w:val="22"/>
        </w:rPr>
      </w:pPr>
    </w:p>
    <w:p w14:paraId="33471C6A" w14:textId="2C2B8419" w:rsidR="00CD2C3B" w:rsidRPr="005D12C6" w:rsidRDefault="00CD2C3B" w:rsidP="00CD2C3B">
      <w:pPr>
        <w:rPr>
          <w:rFonts w:eastAsia="Calibri" w:cs="Times New Roman"/>
          <w:sz w:val="22"/>
          <w:szCs w:val="22"/>
        </w:rPr>
      </w:pPr>
      <w:r w:rsidRPr="005D12C6">
        <w:rPr>
          <w:rFonts w:eastAsia="Calibri" w:cs="Times New Roman"/>
          <w:sz w:val="22"/>
          <w:szCs w:val="22"/>
        </w:rPr>
        <w:t>Por su parte, los recursos de Aportaciones Federales del Ramo 33 presentaron un avance del 46</w:t>
      </w:r>
      <w:r w:rsidR="00CE7960" w:rsidRPr="005D12C6">
        <w:rPr>
          <w:rFonts w:eastAsia="Calibri" w:cs="Times New Roman"/>
          <w:sz w:val="22"/>
          <w:szCs w:val="22"/>
        </w:rPr>
        <w:t>%</w:t>
      </w:r>
      <w:r w:rsidRPr="005D12C6">
        <w:rPr>
          <w:rFonts w:eastAsia="Calibri" w:cs="Times New Roman"/>
          <w:sz w:val="22"/>
          <w:szCs w:val="22"/>
        </w:rPr>
        <w:t>; las transferencias por Convenio un 95</w:t>
      </w:r>
      <w:r w:rsidR="00CE7960" w:rsidRPr="005D12C6">
        <w:rPr>
          <w:rFonts w:eastAsia="Calibri" w:cs="Times New Roman"/>
          <w:sz w:val="22"/>
          <w:szCs w:val="22"/>
        </w:rPr>
        <w:t>%</w:t>
      </w:r>
      <w:r w:rsidRPr="005D12C6">
        <w:rPr>
          <w:rFonts w:eastAsia="Calibri" w:cs="Times New Roman"/>
          <w:sz w:val="22"/>
          <w:szCs w:val="22"/>
        </w:rPr>
        <w:t>, ya que en la Ley de Ingresos solo se estiman los convenios recurrentes más significativos en materia de educación y salud. Finalmente, los Incentivos derivados de la Colaboración Fiscal superaron lo programado en todo el ejercicio fiscal, derivado de acciones de recuperación de créditos fiscales mediante el mecanismo previsto en la cláusula décima séptima del Convenio de Colaboración Administrativa en Materia Fiscal Federal.</w:t>
      </w:r>
    </w:p>
    <w:p w14:paraId="4A19D551" w14:textId="77777777" w:rsidR="00CD2C3B" w:rsidRPr="005D12C6" w:rsidRDefault="00CD2C3B" w:rsidP="00CD2C3B">
      <w:pPr>
        <w:rPr>
          <w:rFonts w:eastAsia="Calibri" w:cs="Times New Roman"/>
          <w:b/>
          <w:sz w:val="22"/>
          <w:szCs w:val="22"/>
        </w:rPr>
      </w:pPr>
    </w:p>
    <w:p w14:paraId="5C1950DA" w14:textId="77777777" w:rsidR="00CD2C3B" w:rsidRPr="005D12C6" w:rsidRDefault="00CD2C3B" w:rsidP="00CD2C3B">
      <w:pPr>
        <w:rPr>
          <w:rFonts w:eastAsia="Calibri" w:cs="Times New Roman"/>
          <w:b/>
          <w:sz w:val="22"/>
          <w:szCs w:val="22"/>
        </w:rPr>
      </w:pPr>
    </w:p>
    <w:p w14:paraId="523F9F86" w14:textId="77777777" w:rsidR="00CD2C3B" w:rsidRPr="005D12C6" w:rsidRDefault="00CD2C3B" w:rsidP="00CD2C3B">
      <w:pPr>
        <w:rPr>
          <w:rFonts w:eastAsia="Calibri" w:cs="Times New Roman"/>
          <w:b/>
          <w:sz w:val="22"/>
          <w:szCs w:val="22"/>
        </w:rPr>
      </w:pPr>
    </w:p>
    <w:p w14:paraId="6DD7B9D5" w14:textId="77777777" w:rsidR="00CD2C3B" w:rsidRPr="005D12C6" w:rsidRDefault="00CD2C3B" w:rsidP="00CD2C3B">
      <w:pPr>
        <w:rPr>
          <w:rFonts w:eastAsia="Calibri" w:cs="Times New Roman"/>
          <w:b/>
          <w:sz w:val="22"/>
          <w:szCs w:val="22"/>
        </w:rPr>
      </w:pPr>
    </w:p>
    <w:p w14:paraId="08011EA3" w14:textId="77777777" w:rsidR="00CD2C3B" w:rsidRPr="005D12C6" w:rsidRDefault="00CD2C3B" w:rsidP="00CD2C3B">
      <w:pPr>
        <w:rPr>
          <w:rFonts w:eastAsia="Calibri" w:cs="Times New Roman"/>
          <w:b/>
          <w:sz w:val="22"/>
          <w:szCs w:val="22"/>
        </w:rPr>
      </w:pPr>
    </w:p>
    <w:p w14:paraId="2E01093D" w14:textId="77777777" w:rsidR="00CD2C3B" w:rsidRPr="005D12C6" w:rsidRDefault="00CD2C3B" w:rsidP="00CD2C3B">
      <w:pPr>
        <w:rPr>
          <w:rFonts w:eastAsia="Calibri" w:cs="Times New Roman"/>
          <w:b/>
          <w:sz w:val="22"/>
          <w:szCs w:val="22"/>
        </w:rPr>
      </w:pPr>
    </w:p>
    <w:p w14:paraId="78CC4193" w14:textId="77777777" w:rsidR="00CD2C3B" w:rsidRPr="005D12C6" w:rsidRDefault="00CD2C3B" w:rsidP="00CD2C3B">
      <w:pPr>
        <w:rPr>
          <w:rFonts w:eastAsia="Calibri" w:cs="Times New Roman"/>
          <w:b/>
          <w:sz w:val="22"/>
          <w:szCs w:val="22"/>
        </w:rPr>
      </w:pPr>
    </w:p>
    <w:p w14:paraId="4EFC8B21" w14:textId="77777777" w:rsidR="00CD2C3B" w:rsidRPr="005D12C6" w:rsidRDefault="00CD2C3B" w:rsidP="00CD2C3B">
      <w:pPr>
        <w:pStyle w:val="Prrafodelista"/>
        <w:widowControl/>
        <w:numPr>
          <w:ilvl w:val="0"/>
          <w:numId w:val="29"/>
        </w:numPr>
        <w:kinsoku/>
        <w:spacing w:after="160" w:line="360" w:lineRule="auto"/>
        <w:jc w:val="both"/>
        <w:rPr>
          <w:rFonts w:ascii="GalanoGrotesque-Light" w:eastAsia="Calibri" w:hAnsi="GalanoGrotesque-Light"/>
          <w:b/>
          <w:sz w:val="22"/>
          <w:szCs w:val="22"/>
          <w:lang w:val="es-ES" w:eastAsia="en-US"/>
        </w:rPr>
      </w:pPr>
      <w:r w:rsidRPr="005D12C6">
        <w:rPr>
          <w:rFonts w:ascii="GalanoGrotesque-Light" w:eastAsia="Calibri" w:hAnsi="GalanoGrotesque-Light"/>
          <w:b/>
          <w:sz w:val="22"/>
          <w:szCs w:val="22"/>
          <w:lang w:val="es-ES" w:eastAsia="en-US"/>
        </w:rPr>
        <w:lastRenderedPageBreak/>
        <w:t>Proyección de la recaudación en el mediano plazo</w:t>
      </w:r>
    </w:p>
    <w:p w14:paraId="49724C07" w14:textId="77777777" w:rsidR="00CD2C3B" w:rsidRPr="005D12C6" w:rsidRDefault="00CD2C3B" w:rsidP="00CD2C3B">
      <w:pPr>
        <w:pStyle w:val="Prrafodelista"/>
        <w:spacing w:line="360" w:lineRule="auto"/>
        <w:jc w:val="both"/>
        <w:rPr>
          <w:rFonts w:ascii="GalanoGrotesque-Light" w:eastAsia="Calibri" w:hAnsi="GalanoGrotesque-Light"/>
          <w:b/>
          <w:sz w:val="22"/>
          <w:szCs w:val="22"/>
          <w:lang w:val="es-ES" w:eastAsia="en-US"/>
        </w:rPr>
      </w:pPr>
    </w:p>
    <w:p w14:paraId="40DB769E" w14:textId="77777777" w:rsidR="00CD2C3B" w:rsidRPr="005D12C6" w:rsidRDefault="00CD2C3B" w:rsidP="00CD2C3B">
      <w:pPr>
        <w:pStyle w:val="Prrafodelista"/>
        <w:widowControl/>
        <w:numPr>
          <w:ilvl w:val="0"/>
          <w:numId w:val="31"/>
        </w:numPr>
        <w:kinsoku/>
        <w:spacing w:after="160" w:line="360" w:lineRule="auto"/>
        <w:jc w:val="both"/>
        <w:rPr>
          <w:rFonts w:ascii="GalanoGrotesque-Light" w:eastAsia="Calibri" w:hAnsi="GalanoGrotesque-Light"/>
          <w:b/>
          <w:sz w:val="22"/>
          <w:szCs w:val="22"/>
          <w:lang w:val="es-ES" w:eastAsia="en-US"/>
        </w:rPr>
      </w:pPr>
      <w:r w:rsidRPr="005D12C6">
        <w:rPr>
          <w:rFonts w:ascii="GalanoGrotesque-Light" w:eastAsia="Calibri" w:hAnsi="GalanoGrotesque-Light"/>
          <w:b/>
          <w:sz w:val="22"/>
          <w:szCs w:val="22"/>
          <w:lang w:val="es-ES" w:eastAsia="en-US"/>
        </w:rPr>
        <w:t>Ingresos de Fuentes Locales</w:t>
      </w:r>
    </w:p>
    <w:p w14:paraId="3E626F94" w14:textId="77777777" w:rsidR="00CD2C3B" w:rsidRPr="005D12C6" w:rsidRDefault="00CD2C3B" w:rsidP="00CD2C3B">
      <w:pPr>
        <w:rPr>
          <w:rFonts w:eastAsia="Calibri" w:cs="Times New Roman"/>
          <w:sz w:val="22"/>
          <w:szCs w:val="22"/>
        </w:rPr>
      </w:pPr>
      <w:r w:rsidRPr="005D12C6">
        <w:rPr>
          <w:rFonts w:eastAsia="Calibri" w:cs="Times New Roman"/>
          <w:sz w:val="22"/>
          <w:szCs w:val="22"/>
        </w:rPr>
        <w:t xml:space="preserve">Para realizar el pronóstico de los impuestos a recaudar en el período 2024-2029 se implementó un análisis econométrico de </w:t>
      </w:r>
      <w:proofErr w:type="spellStart"/>
      <w:r w:rsidRPr="005D12C6">
        <w:rPr>
          <w:rFonts w:eastAsia="Calibri" w:cs="Times New Roman"/>
          <w:sz w:val="22"/>
          <w:szCs w:val="22"/>
        </w:rPr>
        <w:t>suavizamiento</w:t>
      </w:r>
      <w:proofErr w:type="spellEnd"/>
      <w:r w:rsidRPr="005D12C6">
        <w:rPr>
          <w:rFonts w:eastAsia="Calibri" w:cs="Times New Roman"/>
          <w:sz w:val="22"/>
          <w:szCs w:val="22"/>
        </w:rPr>
        <w:t xml:space="preserve"> exponencial multiplicativo, utilizando los datos de recaudación en una serie de tiempo mensual de julio de 2019 a agosto del 2023,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a. Composición del Padrón de Contribuyentes, en donde la recaudación del sector público federal, estatal y municipal, para el caso del Impuesto sobre Nómina tiene un comportamiento distinto a la del sector privado.</w:t>
      </w:r>
    </w:p>
    <w:p w14:paraId="615F54FC" w14:textId="77777777" w:rsidR="00CD2C3B" w:rsidRPr="005D12C6" w:rsidRDefault="00CD2C3B" w:rsidP="00CD2C3B">
      <w:pPr>
        <w:rPr>
          <w:rFonts w:eastAsia="Calibri" w:cs="Times New Roman"/>
          <w:sz w:val="22"/>
          <w:szCs w:val="22"/>
        </w:rPr>
      </w:pPr>
      <w:r w:rsidRPr="005D12C6">
        <w:rPr>
          <w:rFonts w:eastAsia="Calibri" w:cs="Times New Roman"/>
          <w:sz w:val="22"/>
          <w:szCs w:val="22"/>
        </w:rPr>
        <w:t>b. Valuación de estrategias para recuperación de adeudos de contribuyentes del sector privado.</w:t>
      </w:r>
    </w:p>
    <w:p w14:paraId="214C27AF" w14:textId="77777777" w:rsidR="00CD2C3B" w:rsidRPr="005D12C6" w:rsidRDefault="00CD2C3B" w:rsidP="00CD2C3B">
      <w:pPr>
        <w:rPr>
          <w:rFonts w:eastAsia="Calibri" w:cs="Times New Roman"/>
          <w:sz w:val="22"/>
          <w:szCs w:val="22"/>
        </w:rPr>
      </w:pPr>
      <w:r w:rsidRPr="005D12C6">
        <w:rPr>
          <w:rFonts w:eastAsia="Calibri" w:cs="Times New Roman"/>
          <w:sz w:val="22"/>
          <w:szCs w:val="22"/>
        </w:rPr>
        <w:t>c. Valuación de estrategias de incorporación al padrón.</w:t>
      </w:r>
    </w:p>
    <w:p w14:paraId="019B19C7" w14:textId="77777777" w:rsidR="00CD2C3B" w:rsidRPr="005D12C6" w:rsidRDefault="00CD2C3B" w:rsidP="00CD2C3B">
      <w:pPr>
        <w:rPr>
          <w:rFonts w:eastAsia="Calibri" w:cs="Times New Roman"/>
          <w:sz w:val="22"/>
          <w:szCs w:val="22"/>
        </w:rPr>
      </w:pPr>
      <w:r w:rsidRPr="005D12C6">
        <w:rPr>
          <w:rFonts w:eastAsia="Calibri" w:cs="Times New Roman"/>
          <w:sz w:val="22"/>
          <w:szCs w:val="22"/>
        </w:rPr>
        <w:t>d. Ponderación del indicador de la actividad económica estatal, en la perspectiva de la creación de empresas y puestos de trabajo en Michoacán y que determinen la incorporación al padrón estatal.</w:t>
      </w:r>
    </w:p>
    <w:p w14:paraId="3638996C" w14:textId="77777777" w:rsidR="00CD2C3B" w:rsidRPr="005D12C6" w:rsidRDefault="00CD2C3B" w:rsidP="00CD2C3B">
      <w:pPr>
        <w:rPr>
          <w:rFonts w:eastAsia="Calibri" w:cs="Times New Roman"/>
          <w:sz w:val="22"/>
          <w:szCs w:val="22"/>
        </w:rPr>
      </w:pPr>
      <w:r w:rsidRPr="005D12C6">
        <w:rPr>
          <w:rFonts w:eastAsia="Calibri" w:cs="Times New Roman"/>
          <w:sz w:val="22"/>
          <w:szCs w:val="22"/>
        </w:rPr>
        <w:t>La proyección de Derechos se realizó con base en el número de trámites anuales, multiplicados por la tarifa correspondiente proyectada, considerando la inflación contenida en el marco macroeconómico 2022-2029 (Anexo III de los Criterios Generales de Política Económica 2024).</w:t>
      </w:r>
    </w:p>
    <w:p w14:paraId="34628B91" w14:textId="77777777" w:rsidR="00CD2C3B" w:rsidRPr="005D12C6" w:rsidRDefault="00CD2C3B" w:rsidP="00CD2C3B">
      <w:pPr>
        <w:rPr>
          <w:rFonts w:eastAsia="Calibri" w:cs="Times New Roman"/>
          <w:sz w:val="22"/>
          <w:szCs w:val="22"/>
        </w:rPr>
      </w:pPr>
      <w:r w:rsidRPr="005D12C6">
        <w:rPr>
          <w:rFonts w:eastAsia="Calibri" w:cs="Times New Roman"/>
          <w:sz w:val="22"/>
          <w:szCs w:val="22"/>
        </w:rPr>
        <w:t>La proyección de Productos, Aprovechamientos e Ingresos por Venta de Bienes se realiza con base en la tasa de crecimiento anual observada desde el ejercicio 2017-2023 y una estimación de esfuerzo recaudatorio promedio de 10% anual.</w:t>
      </w:r>
    </w:p>
    <w:p w14:paraId="43911BFB" w14:textId="77777777" w:rsidR="00CD2C3B" w:rsidRPr="005D12C6" w:rsidRDefault="00CD2C3B" w:rsidP="00CD2C3B">
      <w:pPr>
        <w:rPr>
          <w:rFonts w:eastAsia="Calibri" w:cs="Times New Roman"/>
          <w:sz w:val="22"/>
          <w:szCs w:val="22"/>
        </w:rPr>
      </w:pPr>
      <w:r w:rsidRPr="005D12C6">
        <w:rPr>
          <w:rFonts w:eastAsia="Calibri" w:cs="Times New Roman"/>
          <w:sz w:val="22"/>
          <w:szCs w:val="22"/>
        </w:rPr>
        <w:t>Los ingresos propios observan un crecimiento promedio anual de 10% en el período, atendiendo a la meta establecida por el Plan Integral de Desarrollo del Estado de Michoacán 2021-2027.</w:t>
      </w:r>
    </w:p>
    <w:p w14:paraId="30EB5203" w14:textId="77777777" w:rsidR="00CD2C3B" w:rsidRPr="005D12C6" w:rsidRDefault="00CD2C3B" w:rsidP="00CD2C3B">
      <w:pPr>
        <w:rPr>
          <w:rFonts w:eastAsia="Calibri" w:cs="Times New Roman"/>
          <w:b/>
          <w:sz w:val="22"/>
          <w:szCs w:val="22"/>
        </w:rPr>
      </w:pPr>
    </w:p>
    <w:p w14:paraId="389853AD" w14:textId="77777777" w:rsidR="00CD2C3B" w:rsidRPr="005D12C6" w:rsidRDefault="00CD2C3B" w:rsidP="00CD2C3B">
      <w:pPr>
        <w:rPr>
          <w:rFonts w:eastAsia="Calibri" w:cs="Times New Roman"/>
          <w:b/>
          <w:sz w:val="22"/>
          <w:szCs w:val="22"/>
        </w:rPr>
      </w:pPr>
    </w:p>
    <w:p w14:paraId="4EB61129" w14:textId="77777777" w:rsidR="00CD2C3B" w:rsidRPr="005D12C6" w:rsidRDefault="00CD2C3B" w:rsidP="00CD2C3B">
      <w:pPr>
        <w:pStyle w:val="Prrafodelista"/>
        <w:widowControl/>
        <w:numPr>
          <w:ilvl w:val="0"/>
          <w:numId w:val="31"/>
        </w:numPr>
        <w:kinsoku/>
        <w:spacing w:after="160" w:line="360" w:lineRule="auto"/>
        <w:jc w:val="both"/>
        <w:rPr>
          <w:rFonts w:ascii="GalanoGrotesque-Light" w:eastAsia="Calibri" w:hAnsi="GalanoGrotesque-Light"/>
          <w:b/>
          <w:sz w:val="22"/>
          <w:szCs w:val="22"/>
          <w:lang w:val="es-ES" w:eastAsia="en-US"/>
        </w:rPr>
      </w:pPr>
      <w:r w:rsidRPr="005D12C6">
        <w:rPr>
          <w:rFonts w:ascii="GalanoGrotesque-Light" w:eastAsia="Calibri" w:hAnsi="GalanoGrotesque-Light"/>
          <w:b/>
          <w:sz w:val="22"/>
          <w:szCs w:val="22"/>
          <w:lang w:val="es-ES" w:eastAsia="en-US"/>
        </w:rPr>
        <w:lastRenderedPageBreak/>
        <w:t>Ingresos de Fuentes Federales</w:t>
      </w:r>
    </w:p>
    <w:p w14:paraId="39BD2417" w14:textId="77777777" w:rsidR="00CD2C3B" w:rsidRPr="005D12C6" w:rsidRDefault="00CD2C3B" w:rsidP="00CD2C3B">
      <w:pPr>
        <w:rPr>
          <w:rFonts w:eastAsia="Calibri" w:cs="Times New Roman"/>
          <w:sz w:val="22"/>
          <w:szCs w:val="22"/>
        </w:rPr>
      </w:pPr>
      <w:r w:rsidRPr="005D12C6">
        <w:rPr>
          <w:rFonts w:eastAsia="Calibri" w:cs="Times New Roman"/>
          <w:sz w:val="22"/>
          <w:szCs w:val="22"/>
        </w:rPr>
        <w:t>La estimación de Participaciones toma como base la información de los Requerimientos Financieros del Sector Público 2023-2029 de los Criterios Generales de Política Económica 2024, en donde se establece un escenario en el que, dentro del Gasto no Programable, las Participaciones representan el 3.7% del Producto Interno Bruto. A partir de la distribución histórica por entidad de estos recursos, se identificó la proyección 2025-2029 para Michoacán.</w:t>
      </w:r>
    </w:p>
    <w:p w14:paraId="281E6A29" w14:textId="77777777" w:rsidR="00CD2C3B" w:rsidRPr="005D12C6" w:rsidRDefault="00CD2C3B" w:rsidP="00CD2C3B">
      <w:pPr>
        <w:rPr>
          <w:rFonts w:eastAsia="Calibri" w:cs="Times New Roman"/>
          <w:sz w:val="22"/>
          <w:szCs w:val="22"/>
        </w:rPr>
      </w:pPr>
      <w:r w:rsidRPr="005D12C6">
        <w:rPr>
          <w:rFonts w:eastAsia="Calibri" w:cs="Times New Roman"/>
          <w:sz w:val="22"/>
          <w:szCs w:val="22"/>
        </w:rPr>
        <w:t>La estimación de Aportaciones, Convenios e Incentivos derivados de la Colaboración Fiscal se realizó con base en la tasa de crecimiento anual observada en el período 2017-2023.</w:t>
      </w:r>
    </w:p>
    <w:p w14:paraId="31DB7EA3" w14:textId="77777777" w:rsidR="00CD2C3B" w:rsidRPr="005D12C6" w:rsidRDefault="00CD2C3B" w:rsidP="00CD2C3B">
      <w:pPr>
        <w:rPr>
          <w:rFonts w:eastAsia="Calibri" w:cs="Times New Roman"/>
          <w:sz w:val="22"/>
          <w:szCs w:val="22"/>
        </w:rPr>
      </w:pPr>
      <w:r w:rsidRPr="005D12C6">
        <w:rPr>
          <w:rFonts w:eastAsia="Calibri" w:cs="Times New Roman"/>
          <w:sz w:val="22"/>
          <w:szCs w:val="22"/>
        </w:rPr>
        <w:t>La estimación de Aportaciones, Convenios e Incentivos derivados de la Colaboración Fiscal se realizó con base en la tasa de crecimiento anual observada en el período 2017-2023.</w:t>
      </w:r>
    </w:p>
    <w:p w14:paraId="4C960197" w14:textId="77777777" w:rsidR="00CD2C3B" w:rsidRPr="005D12C6" w:rsidRDefault="00CD2C3B" w:rsidP="00CD2C3B">
      <w:pPr>
        <w:rPr>
          <w:rFonts w:ascii="Grotesque Light" w:hAnsi="Grotesque Light"/>
        </w:rPr>
      </w:pPr>
    </w:p>
    <w:tbl>
      <w:tblPr>
        <w:tblW w:w="0" w:type="auto"/>
        <w:tblCellMar>
          <w:left w:w="70" w:type="dxa"/>
          <w:right w:w="70" w:type="dxa"/>
        </w:tblCellMar>
        <w:tblLook w:val="04A0" w:firstRow="1" w:lastRow="0" w:firstColumn="1" w:lastColumn="0" w:noHBand="0" w:noVBand="1"/>
      </w:tblPr>
      <w:tblGrid>
        <w:gridCol w:w="1523"/>
        <w:gridCol w:w="999"/>
        <w:gridCol w:w="1074"/>
        <w:gridCol w:w="747"/>
        <w:gridCol w:w="1554"/>
        <w:gridCol w:w="2093"/>
        <w:gridCol w:w="2012"/>
      </w:tblGrid>
      <w:tr w:rsidR="00CD2C3B" w:rsidRPr="005D12C6" w14:paraId="7EFDF17D" w14:textId="77777777" w:rsidTr="007C73FB">
        <w:trPr>
          <w:trHeight w:val="608"/>
        </w:trPr>
        <w:tc>
          <w:tcPr>
            <w:tcW w:w="0" w:type="auto"/>
            <w:tcBorders>
              <w:top w:val="single" w:sz="4" w:space="0" w:color="auto"/>
              <w:left w:val="nil"/>
              <w:bottom w:val="single" w:sz="4" w:space="0" w:color="auto"/>
              <w:right w:val="nil"/>
            </w:tcBorders>
            <w:shd w:val="clear" w:color="auto" w:fill="auto"/>
            <w:vAlign w:val="center"/>
            <w:hideMark/>
          </w:tcPr>
          <w:p w14:paraId="31C7D78C"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 xml:space="preserve">PIB miles de millones </w:t>
            </w:r>
          </w:p>
        </w:tc>
        <w:tc>
          <w:tcPr>
            <w:tcW w:w="0" w:type="auto"/>
            <w:tcBorders>
              <w:top w:val="single" w:sz="4" w:space="0" w:color="auto"/>
              <w:left w:val="nil"/>
              <w:bottom w:val="single" w:sz="4" w:space="0" w:color="auto"/>
              <w:right w:val="nil"/>
            </w:tcBorders>
            <w:shd w:val="clear" w:color="auto" w:fill="auto"/>
            <w:vAlign w:val="center"/>
            <w:hideMark/>
          </w:tcPr>
          <w:p w14:paraId="5AA4D998"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 xml:space="preserve"> Crec. Nominal </w:t>
            </w:r>
          </w:p>
        </w:tc>
        <w:tc>
          <w:tcPr>
            <w:tcW w:w="0" w:type="auto"/>
            <w:tcBorders>
              <w:top w:val="single" w:sz="4" w:space="0" w:color="auto"/>
              <w:left w:val="nil"/>
              <w:bottom w:val="single" w:sz="4" w:space="0" w:color="auto"/>
              <w:right w:val="nil"/>
            </w:tcBorders>
            <w:shd w:val="clear" w:color="auto" w:fill="auto"/>
            <w:vAlign w:val="center"/>
            <w:hideMark/>
          </w:tcPr>
          <w:p w14:paraId="013C7DDB"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 xml:space="preserve"> Inflación dic/dic </w:t>
            </w:r>
          </w:p>
        </w:tc>
        <w:tc>
          <w:tcPr>
            <w:tcW w:w="0" w:type="auto"/>
            <w:tcBorders>
              <w:top w:val="single" w:sz="4" w:space="0" w:color="auto"/>
              <w:left w:val="nil"/>
              <w:bottom w:val="single" w:sz="4" w:space="0" w:color="auto"/>
              <w:right w:val="nil"/>
            </w:tcBorders>
            <w:shd w:val="clear" w:color="auto" w:fill="auto"/>
            <w:vAlign w:val="center"/>
            <w:hideMark/>
          </w:tcPr>
          <w:p w14:paraId="08B4E1AD"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Crec. Real</w:t>
            </w:r>
          </w:p>
        </w:tc>
        <w:tc>
          <w:tcPr>
            <w:tcW w:w="0" w:type="auto"/>
            <w:tcBorders>
              <w:top w:val="single" w:sz="4" w:space="0" w:color="auto"/>
              <w:left w:val="nil"/>
              <w:bottom w:val="single" w:sz="4" w:space="0" w:color="auto"/>
              <w:right w:val="nil"/>
            </w:tcBorders>
            <w:shd w:val="clear" w:color="auto" w:fill="auto"/>
            <w:vAlign w:val="center"/>
            <w:hideMark/>
          </w:tcPr>
          <w:p w14:paraId="1E425649"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Participaciones % PIB</w:t>
            </w:r>
          </w:p>
        </w:tc>
        <w:tc>
          <w:tcPr>
            <w:tcW w:w="0" w:type="auto"/>
            <w:tcBorders>
              <w:top w:val="single" w:sz="4" w:space="0" w:color="auto"/>
              <w:left w:val="nil"/>
              <w:bottom w:val="single" w:sz="4" w:space="0" w:color="auto"/>
              <w:right w:val="nil"/>
            </w:tcBorders>
            <w:shd w:val="clear" w:color="auto" w:fill="auto"/>
            <w:vAlign w:val="center"/>
            <w:hideMark/>
          </w:tcPr>
          <w:p w14:paraId="71F4E27B"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Participaciones (miles de millones)</w:t>
            </w:r>
          </w:p>
        </w:tc>
        <w:tc>
          <w:tcPr>
            <w:tcW w:w="0" w:type="auto"/>
            <w:tcBorders>
              <w:top w:val="single" w:sz="4" w:space="0" w:color="auto"/>
              <w:left w:val="nil"/>
              <w:bottom w:val="single" w:sz="4" w:space="0" w:color="auto"/>
              <w:right w:val="nil"/>
            </w:tcBorders>
            <w:shd w:val="clear" w:color="auto" w:fill="auto"/>
            <w:vAlign w:val="center"/>
            <w:hideMark/>
          </w:tcPr>
          <w:p w14:paraId="5AA17477" w14:textId="77777777" w:rsidR="00CD2C3B" w:rsidRPr="005D12C6" w:rsidRDefault="00CD2C3B" w:rsidP="007C73FB">
            <w:pPr>
              <w:spacing w:after="0" w:line="240" w:lineRule="auto"/>
              <w:jc w:val="center"/>
              <w:rPr>
                <w:rFonts w:ascii="Grotesque Light" w:eastAsia="Times New Roman" w:hAnsi="Grotesque Light" w:cs="Calibri"/>
                <w:b/>
                <w:bCs/>
                <w:color w:val="000000"/>
                <w:sz w:val="16"/>
                <w:szCs w:val="16"/>
                <w:lang w:eastAsia="es-MX"/>
              </w:rPr>
            </w:pPr>
            <w:r w:rsidRPr="005D12C6">
              <w:rPr>
                <w:rFonts w:ascii="Grotesque Light" w:eastAsia="Times New Roman" w:hAnsi="Grotesque Light" w:cs="Calibri"/>
                <w:b/>
                <w:bCs/>
                <w:color w:val="000000"/>
                <w:sz w:val="16"/>
                <w:szCs w:val="16"/>
                <w:lang w:eastAsia="es-MX"/>
              </w:rPr>
              <w:t>Participaciones Michoacán (pesos)</w:t>
            </w:r>
          </w:p>
        </w:tc>
      </w:tr>
      <w:tr w:rsidR="00CD2C3B" w:rsidRPr="005D12C6" w14:paraId="70C06791" w14:textId="77777777" w:rsidTr="007C73FB">
        <w:trPr>
          <w:trHeight w:val="256"/>
        </w:trPr>
        <w:tc>
          <w:tcPr>
            <w:tcW w:w="0" w:type="auto"/>
            <w:tcBorders>
              <w:top w:val="nil"/>
              <w:left w:val="nil"/>
              <w:bottom w:val="nil"/>
              <w:right w:val="nil"/>
            </w:tcBorders>
            <w:shd w:val="clear" w:color="auto" w:fill="auto"/>
            <w:noWrap/>
            <w:vAlign w:val="center"/>
            <w:hideMark/>
          </w:tcPr>
          <w:p w14:paraId="6F2636B4"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34,374.50 </w:t>
            </w:r>
          </w:p>
        </w:tc>
        <w:tc>
          <w:tcPr>
            <w:tcW w:w="0" w:type="auto"/>
            <w:tcBorders>
              <w:top w:val="nil"/>
              <w:left w:val="nil"/>
              <w:bottom w:val="nil"/>
              <w:right w:val="nil"/>
            </w:tcBorders>
            <w:shd w:val="clear" w:color="auto" w:fill="auto"/>
            <w:noWrap/>
            <w:vAlign w:val="center"/>
            <w:hideMark/>
          </w:tcPr>
          <w:p w14:paraId="280D7F9E"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28E59D5A"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3.80%</w:t>
            </w:r>
          </w:p>
        </w:tc>
        <w:tc>
          <w:tcPr>
            <w:tcW w:w="0" w:type="auto"/>
            <w:tcBorders>
              <w:top w:val="nil"/>
              <w:left w:val="nil"/>
              <w:bottom w:val="nil"/>
              <w:right w:val="nil"/>
            </w:tcBorders>
            <w:shd w:val="clear" w:color="auto" w:fill="auto"/>
            <w:noWrap/>
            <w:vAlign w:val="center"/>
            <w:hideMark/>
          </w:tcPr>
          <w:p w14:paraId="0BD24E14"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1E0A1A94"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04AA53EB"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             1,271.86 </w:t>
            </w:r>
          </w:p>
        </w:tc>
        <w:tc>
          <w:tcPr>
            <w:tcW w:w="0" w:type="auto"/>
            <w:tcBorders>
              <w:top w:val="nil"/>
              <w:left w:val="nil"/>
              <w:bottom w:val="nil"/>
              <w:right w:val="nil"/>
            </w:tcBorders>
            <w:shd w:val="clear" w:color="auto" w:fill="auto"/>
            <w:noWrap/>
            <w:vAlign w:val="center"/>
            <w:hideMark/>
          </w:tcPr>
          <w:p w14:paraId="15622209"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40,475,080,223</w:t>
            </w:r>
          </w:p>
        </w:tc>
      </w:tr>
      <w:tr w:rsidR="00CD2C3B" w:rsidRPr="005D12C6" w14:paraId="6AC5DE20" w14:textId="77777777" w:rsidTr="007C73FB">
        <w:trPr>
          <w:trHeight w:val="256"/>
        </w:trPr>
        <w:tc>
          <w:tcPr>
            <w:tcW w:w="0" w:type="auto"/>
            <w:tcBorders>
              <w:top w:val="nil"/>
              <w:left w:val="nil"/>
              <w:bottom w:val="nil"/>
              <w:right w:val="nil"/>
            </w:tcBorders>
            <w:shd w:val="clear" w:color="auto" w:fill="auto"/>
            <w:noWrap/>
            <w:vAlign w:val="center"/>
            <w:hideMark/>
          </w:tcPr>
          <w:p w14:paraId="20521DA3"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36,470.50 </w:t>
            </w:r>
          </w:p>
        </w:tc>
        <w:tc>
          <w:tcPr>
            <w:tcW w:w="0" w:type="auto"/>
            <w:tcBorders>
              <w:top w:val="nil"/>
              <w:left w:val="nil"/>
              <w:bottom w:val="nil"/>
              <w:right w:val="nil"/>
            </w:tcBorders>
            <w:shd w:val="clear" w:color="auto" w:fill="auto"/>
            <w:noWrap/>
            <w:vAlign w:val="center"/>
            <w:hideMark/>
          </w:tcPr>
          <w:p w14:paraId="0947C8B7"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6.10%</w:t>
            </w:r>
          </w:p>
        </w:tc>
        <w:tc>
          <w:tcPr>
            <w:tcW w:w="0" w:type="auto"/>
            <w:tcBorders>
              <w:top w:val="nil"/>
              <w:left w:val="nil"/>
              <w:bottom w:val="nil"/>
              <w:right w:val="nil"/>
            </w:tcBorders>
            <w:shd w:val="clear" w:color="auto" w:fill="auto"/>
            <w:noWrap/>
            <w:vAlign w:val="center"/>
            <w:hideMark/>
          </w:tcPr>
          <w:p w14:paraId="21EBC76F"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6D4EB494"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3.10%</w:t>
            </w:r>
          </w:p>
        </w:tc>
        <w:tc>
          <w:tcPr>
            <w:tcW w:w="0" w:type="auto"/>
            <w:tcBorders>
              <w:top w:val="nil"/>
              <w:left w:val="nil"/>
              <w:bottom w:val="nil"/>
              <w:right w:val="nil"/>
            </w:tcBorders>
            <w:shd w:val="clear" w:color="auto" w:fill="auto"/>
            <w:noWrap/>
            <w:vAlign w:val="center"/>
            <w:hideMark/>
          </w:tcPr>
          <w:p w14:paraId="7F728800"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67D85A1D"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             1,349.41 </w:t>
            </w:r>
          </w:p>
        </w:tc>
        <w:tc>
          <w:tcPr>
            <w:tcW w:w="0" w:type="auto"/>
            <w:tcBorders>
              <w:top w:val="nil"/>
              <w:left w:val="nil"/>
              <w:bottom w:val="nil"/>
              <w:right w:val="nil"/>
            </w:tcBorders>
            <w:shd w:val="clear" w:color="auto" w:fill="auto"/>
            <w:noWrap/>
            <w:vAlign w:val="center"/>
            <w:hideMark/>
          </w:tcPr>
          <w:p w14:paraId="7205FCF3"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42,911,190,300</w:t>
            </w:r>
          </w:p>
        </w:tc>
      </w:tr>
      <w:tr w:rsidR="00CD2C3B" w:rsidRPr="005D12C6" w14:paraId="5589F8F3" w14:textId="77777777" w:rsidTr="007C73FB">
        <w:trPr>
          <w:trHeight w:val="256"/>
        </w:trPr>
        <w:tc>
          <w:tcPr>
            <w:tcW w:w="0" w:type="auto"/>
            <w:tcBorders>
              <w:top w:val="nil"/>
              <w:left w:val="nil"/>
              <w:bottom w:val="nil"/>
              <w:right w:val="nil"/>
            </w:tcBorders>
            <w:shd w:val="clear" w:color="auto" w:fill="auto"/>
            <w:noWrap/>
            <w:vAlign w:val="center"/>
            <w:hideMark/>
          </w:tcPr>
          <w:p w14:paraId="43E76889"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38,682.30 </w:t>
            </w:r>
          </w:p>
        </w:tc>
        <w:tc>
          <w:tcPr>
            <w:tcW w:w="0" w:type="auto"/>
            <w:tcBorders>
              <w:top w:val="nil"/>
              <w:left w:val="nil"/>
              <w:bottom w:val="nil"/>
              <w:right w:val="nil"/>
            </w:tcBorders>
            <w:shd w:val="clear" w:color="auto" w:fill="auto"/>
            <w:noWrap/>
            <w:vAlign w:val="center"/>
            <w:hideMark/>
          </w:tcPr>
          <w:p w14:paraId="1FA233CD"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6.06%</w:t>
            </w:r>
          </w:p>
        </w:tc>
        <w:tc>
          <w:tcPr>
            <w:tcW w:w="0" w:type="auto"/>
            <w:tcBorders>
              <w:top w:val="nil"/>
              <w:left w:val="nil"/>
              <w:bottom w:val="nil"/>
              <w:right w:val="nil"/>
            </w:tcBorders>
            <w:shd w:val="clear" w:color="auto" w:fill="auto"/>
            <w:noWrap/>
            <w:vAlign w:val="center"/>
            <w:hideMark/>
          </w:tcPr>
          <w:p w14:paraId="2CAA05C2"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11ABA57E"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3.06%</w:t>
            </w:r>
          </w:p>
        </w:tc>
        <w:tc>
          <w:tcPr>
            <w:tcW w:w="0" w:type="auto"/>
            <w:tcBorders>
              <w:top w:val="nil"/>
              <w:left w:val="nil"/>
              <w:bottom w:val="nil"/>
              <w:right w:val="nil"/>
            </w:tcBorders>
            <w:shd w:val="clear" w:color="auto" w:fill="auto"/>
            <w:noWrap/>
            <w:vAlign w:val="center"/>
            <w:hideMark/>
          </w:tcPr>
          <w:p w14:paraId="00F8873A"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5968753D"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             1,431.25 </w:t>
            </w:r>
          </w:p>
        </w:tc>
        <w:tc>
          <w:tcPr>
            <w:tcW w:w="0" w:type="auto"/>
            <w:tcBorders>
              <w:top w:val="nil"/>
              <w:left w:val="nil"/>
              <w:bottom w:val="nil"/>
              <w:right w:val="nil"/>
            </w:tcBorders>
            <w:shd w:val="clear" w:color="auto" w:fill="auto"/>
            <w:noWrap/>
            <w:vAlign w:val="center"/>
            <w:hideMark/>
          </w:tcPr>
          <w:p w14:paraId="176695B5"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45,799,843,200</w:t>
            </w:r>
          </w:p>
        </w:tc>
      </w:tr>
      <w:tr w:rsidR="00CD2C3B" w:rsidRPr="005D12C6" w14:paraId="2C3EB2CB" w14:textId="77777777" w:rsidTr="007C73FB">
        <w:trPr>
          <w:trHeight w:val="256"/>
        </w:trPr>
        <w:tc>
          <w:tcPr>
            <w:tcW w:w="0" w:type="auto"/>
            <w:tcBorders>
              <w:top w:val="nil"/>
              <w:left w:val="nil"/>
              <w:bottom w:val="nil"/>
              <w:right w:val="nil"/>
            </w:tcBorders>
            <w:shd w:val="clear" w:color="auto" w:fill="auto"/>
            <w:noWrap/>
            <w:vAlign w:val="center"/>
            <w:hideMark/>
          </w:tcPr>
          <w:p w14:paraId="292064F6"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41,037.10 </w:t>
            </w:r>
          </w:p>
        </w:tc>
        <w:tc>
          <w:tcPr>
            <w:tcW w:w="0" w:type="auto"/>
            <w:tcBorders>
              <w:top w:val="nil"/>
              <w:left w:val="nil"/>
              <w:bottom w:val="nil"/>
              <w:right w:val="nil"/>
            </w:tcBorders>
            <w:shd w:val="clear" w:color="auto" w:fill="auto"/>
            <w:noWrap/>
            <w:vAlign w:val="center"/>
            <w:hideMark/>
          </w:tcPr>
          <w:p w14:paraId="5ACDED4F"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2915D587"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45AD701D"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29B2DABC"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4D7E1BBD"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             1,518.37 </w:t>
            </w:r>
          </w:p>
        </w:tc>
        <w:tc>
          <w:tcPr>
            <w:tcW w:w="0" w:type="auto"/>
            <w:tcBorders>
              <w:top w:val="nil"/>
              <w:left w:val="nil"/>
              <w:bottom w:val="nil"/>
              <w:right w:val="nil"/>
            </w:tcBorders>
            <w:shd w:val="clear" w:color="auto" w:fill="auto"/>
            <w:noWrap/>
            <w:vAlign w:val="center"/>
            <w:hideMark/>
          </w:tcPr>
          <w:p w14:paraId="79FAF966"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47,828,740,050</w:t>
            </w:r>
          </w:p>
        </w:tc>
      </w:tr>
      <w:tr w:rsidR="00CD2C3B" w:rsidRPr="005D12C6" w14:paraId="6C60A499" w14:textId="77777777" w:rsidTr="007C73FB">
        <w:trPr>
          <w:trHeight w:val="256"/>
        </w:trPr>
        <w:tc>
          <w:tcPr>
            <w:tcW w:w="0" w:type="auto"/>
            <w:tcBorders>
              <w:top w:val="nil"/>
              <w:left w:val="nil"/>
              <w:bottom w:val="nil"/>
              <w:right w:val="nil"/>
            </w:tcBorders>
            <w:shd w:val="clear" w:color="auto" w:fill="auto"/>
            <w:noWrap/>
            <w:vAlign w:val="center"/>
            <w:hideMark/>
          </w:tcPr>
          <w:p w14:paraId="7C5DEF95"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43,535.20 </w:t>
            </w:r>
          </w:p>
        </w:tc>
        <w:tc>
          <w:tcPr>
            <w:tcW w:w="0" w:type="auto"/>
            <w:tcBorders>
              <w:top w:val="nil"/>
              <w:left w:val="nil"/>
              <w:bottom w:val="nil"/>
              <w:right w:val="nil"/>
            </w:tcBorders>
            <w:shd w:val="clear" w:color="auto" w:fill="auto"/>
            <w:noWrap/>
            <w:vAlign w:val="center"/>
            <w:hideMark/>
          </w:tcPr>
          <w:p w14:paraId="3ABD1F2A"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046167CD"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27D7D946"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1EB715F1"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70D18B46"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             1,610.80 </w:t>
            </w:r>
          </w:p>
        </w:tc>
        <w:tc>
          <w:tcPr>
            <w:tcW w:w="0" w:type="auto"/>
            <w:tcBorders>
              <w:top w:val="nil"/>
              <w:left w:val="nil"/>
              <w:bottom w:val="nil"/>
              <w:right w:val="nil"/>
            </w:tcBorders>
            <w:shd w:val="clear" w:color="auto" w:fill="auto"/>
            <w:noWrap/>
            <w:vAlign w:val="center"/>
            <w:hideMark/>
          </w:tcPr>
          <w:p w14:paraId="31D8FCA2"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50,257,034,880</w:t>
            </w:r>
          </w:p>
        </w:tc>
      </w:tr>
      <w:tr w:rsidR="00CD2C3B" w:rsidRPr="005D12C6" w14:paraId="501125C1" w14:textId="77777777" w:rsidTr="007C73FB">
        <w:trPr>
          <w:trHeight w:val="256"/>
        </w:trPr>
        <w:tc>
          <w:tcPr>
            <w:tcW w:w="0" w:type="auto"/>
            <w:tcBorders>
              <w:top w:val="nil"/>
              <w:left w:val="nil"/>
              <w:bottom w:val="single" w:sz="4" w:space="0" w:color="auto"/>
              <w:right w:val="nil"/>
            </w:tcBorders>
            <w:shd w:val="clear" w:color="auto" w:fill="auto"/>
            <w:noWrap/>
            <w:vAlign w:val="center"/>
            <w:hideMark/>
          </w:tcPr>
          <w:p w14:paraId="529761F0" w14:textId="77777777" w:rsidR="00CD2C3B" w:rsidRPr="005D12C6" w:rsidRDefault="00CD2C3B" w:rsidP="007C73FB">
            <w:pPr>
              <w:spacing w:after="0" w:line="240" w:lineRule="auto"/>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46,185.50 </w:t>
            </w:r>
          </w:p>
        </w:tc>
        <w:tc>
          <w:tcPr>
            <w:tcW w:w="0" w:type="auto"/>
            <w:tcBorders>
              <w:top w:val="nil"/>
              <w:left w:val="nil"/>
              <w:bottom w:val="single" w:sz="4" w:space="0" w:color="auto"/>
              <w:right w:val="nil"/>
            </w:tcBorders>
            <w:shd w:val="clear" w:color="auto" w:fill="auto"/>
            <w:noWrap/>
            <w:vAlign w:val="center"/>
            <w:hideMark/>
          </w:tcPr>
          <w:p w14:paraId="149524CF"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6.09%</w:t>
            </w:r>
          </w:p>
        </w:tc>
        <w:tc>
          <w:tcPr>
            <w:tcW w:w="0" w:type="auto"/>
            <w:tcBorders>
              <w:top w:val="nil"/>
              <w:left w:val="nil"/>
              <w:bottom w:val="single" w:sz="4" w:space="0" w:color="auto"/>
              <w:right w:val="nil"/>
            </w:tcBorders>
            <w:shd w:val="clear" w:color="auto" w:fill="auto"/>
            <w:noWrap/>
            <w:vAlign w:val="center"/>
            <w:hideMark/>
          </w:tcPr>
          <w:p w14:paraId="38B1CCE7"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3.00%</w:t>
            </w:r>
          </w:p>
        </w:tc>
        <w:tc>
          <w:tcPr>
            <w:tcW w:w="0" w:type="auto"/>
            <w:tcBorders>
              <w:top w:val="nil"/>
              <w:left w:val="nil"/>
              <w:bottom w:val="single" w:sz="4" w:space="0" w:color="auto"/>
              <w:right w:val="nil"/>
            </w:tcBorders>
            <w:shd w:val="clear" w:color="auto" w:fill="auto"/>
            <w:noWrap/>
            <w:vAlign w:val="center"/>
            <w:hideMark/>
          </w:tcPr>
          <w:p w14:paraId="180E7A22"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3.09%</w:t>
            </w:r>
          </w:p>
        </w:tc>
        <w:tc>
          <w:tcPr>
            <w:tcW w:w="0" w:type="auto"/>
            <w:tcBorders>
              <w:top w:val="nil"/>
              <w:left w:val="nil"/>
              <w:bottom w:val="single" w:sz="4" w:space="0" w:color="auto"/>
              <w:right w:val="nil"/>
            </w:tcBorders>
            <w:shd w:val="clear" w:color="auto" w:fill="auto"/>
            <w:noWrap/>
            <w:vAlign w:val="center"/>
            <w:hideMark/>
          </w:tcPr>
          <w:p w14:paraId="7E703760"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3.70%</w:t>
            </w:r>
          </w:p>
        </w:tc>
        <w:tc>
          <w:tcPr>
            <w:tcW w:w="0" w:type="auto"/>
            <w:tcBorders>
              <w:top w:val="nil"/>
              <w:left w:val="nil"/>
              <w:bottom w:val="single" w:sz="4" w:space="0" w:color="auto"/>
              <w:right w:val="nil"/>
            </w:tcBorders>
            <w:shd w:val="clear" w:color="auto" w:fill="auto"/>
            <w:noWrap/>
            <w:vAlign w:val="center"/>
            <w:hideMark/>
          </w:tcPr>
          <w:p w14:paraId="32095397"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 xml:space="preserve"> $            1,708.86 </w:t>
            </w:r>
          </w:p>
        </w:tc>
        <w:tc>
          <w:tcPr>
            <w:tcW w:w="0" w:type="auto"/>
            <w:tcBorders>
              <w:top w:val="nil"/>
              <w:left w:val="nil"/>
              <w:bottom w:val="single" w:sz="4" w:space="0" w:color="auto"/>
              <w:right w:val="nil"/>
            </w:tcBorders>
            <w:shd w:val="clear" w:color="auto" w:fill="auto"/>
            <w:noWrap/>
            <w:vAlign w:val="center"/>
            <w:hideMark/>
          </w:tcPr>
          <w:p w14:paraId="2AD8891F" w14:textId="77777777" w:rsidR="00CD2C3B" w:rsidRPr="005D12C6" w:rsidRDefault="00CD2C3B" w:rsidP="007C73FB">
            <w:pPr>
              <w:spacing w:after="0" w:line="240" w:lineRule="auto"/>
              <w:jc w:val="center"/>
              <w:rPr>
                <w:rFonts w:ascii="Grotesque Light" w:eastAsia="Times New Roman" w:hAnsi="Grotesque Light" w:cs="Calibri"/>
                <w:color w:val="000000"/>
                <w:sz w:val="16"/>
                <w:szCs w:val="16"/>
                <w:lang w:eastAsia="es-MX"/>
              </w:rPr>
            </w:pPr>
            <w:r w:rsidRPr="005D12C6">
              <w:rPr>
                <w:rFonts w:ascii="Grotesque Light" w:eastAsia="Times New Roman" w:hAnsi="Grotesque Light" w:cs="Calibri"/>
                <w:color w:val="000000"/>
                <w:sz w:val="16"/>
                <w:szCs w:val="16"/>
                <w:lang w:eastAsia="es-MX"/>
              </w:rPr>
              <w:t>52,512,745,650</w:t>
            </w:r>
          </w:p>
        </w:tc>
      </w:tr>
    </w:tbl>
    <w:p w14:paraId="3CE23F7F" w14:textId="77777777" w:rsidR="00CD2C3B" w:rsidRPr="005D12C6" w:rsidRDefault="00CD2C3B" w:rsidP="00CD2C3B">
      <w:pPr>
        <w:rPr>
          <w:rFonts w:ascii="Grotesque Light" w:hAnsi="Grotesque Light"/>
        </w:rPr>
      </w:pPr>
    </w:p>
    <w:p w14:paraId="42BF483A" w14:textId="77777777"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ab/>
      </w:r>
      <w:r w:rsidRPr="005D12C6">
        <w:rPr>
          <w:rFonts w:eastAsia="Calibri" w:cs="Times New Roman"/>
          <w:b/>
          <w:sz w:val="22"/>
          <w:szCs w:val="22"/>
        </w:rPr>
        <w:tab/>
      </w:r>
      <w:r w:rsidRPr="005D12C6">
        <w:rPr>
          <w:rFonts w:eastAsia="Calibri" w:cs="Times New Roman"/>
          <w:b/>
          <w:sz w:val="22"/>
          <w:szCs w:val="22"/>
        </w:rPr>
        <w:tab/>
      </w:r>
      <w:r w:rsidRPr="005D12C6">
        <w:rPr>
          <w:rFonts w:eastAsia="Calibri" w:cs="Times New Roman"/>
          <w:b/>
          <w:sz w:val="22"/>
          <w:szCs w:val="22"/>
        </w:rPr>
        <w:tab/>
      </w:r>
      <w:r w:rsidRPr="005D12C6">
        <w:rPr>
          <w:rFonts w:eastAsia="Calibri" w:cs="Times New Roman"/>
          <w:b/>
          <w:sz w:val="22"/>
          <w:szCs w:val="22"/>
        </w:rPr>
        <w:tab/>
      </w:r>
      <w:r w:rsidRPr="005D12C6">
        <w:rPr>
          <w:rFonts w:eastAsia="Calibri" w:cs="Times New Roman"/>
          <w:b/>
          <w:sz w:val="22"/>
          <w:szCs w:val="22"/>
        </w:rPr>
        <w:tab/>
      </w:r>
      <w:r w:rsidRPr="005D12C6">
        <w:rPr>
          <w:rFonts w:eastAsia="Calibri" w:cs="Times New Roman"/>
          <w:b/>
          <w:sz w:val="22"/>
          <w:szCs w:val="22"/>
        </w:rPr>
        <w:tab/>
      </w:r>
    </w:p>
    <w:p w14:paraId="3F42BFCC" w14:textId="70F20085"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1</w:t>
      </w:r>
      <w:r w:rsidR="00702E64" w:rsidRPr="005D12C6">
        <w:rPr>
          <w:rFonts w:eastAsia="Calibri" w:cs="Times New Roman"/>
          <w:b/>
          <w:sz w:val="22"/>
          <w:szCs w:val="22"/>
        </w:rPr>
        <w:t>0</w:t>
      </w:r>
      <w:r w:rsidRPr="005D12C6">
        <w:rPr>
          <w:rFonts w:eastAsia="Calibri" w:cs="Times New Roman"/>
          <w:b/>
          <w:sz w:val="22"/>
          <w:szCs w:val="22"/>
        </w:rPr>
        <w:t>. Información sobre la Deuda y el Reporte analítico de la deuda.</w:t>
      </w:r>
    </w:p>
    <w:p w14:paraId="7EC4D012" w14:textId="77777777" w:rsidR="00BD4F6A" w:rsidRPr="005D12C6" w:rsidRDefault="00BD4F6A" w:rsidP="00AB5EE6">
      <w:pPr>
        <w:spacing w:before="0" w:after="0"/>
        <w:rPr>
          <w:rFonts w:eastAsia="Calibri" w:cs="Times New Roman"/>
          <w:b/>
          <w:sz w:val="22"/>
          <w:szCs w:val="22"/>
        </w:rPr>
      </w:pPr>
    </w:p>
    <w:p w14:paraId="5F6F3002" w14:textId="77777777"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Pr="005D12C6" w:rsidRDefault="00312609" w:rsidP="00AB5EE6">
      <w:pPr>
        <w:spacing w:before="0" w:after="0"/>
        <w:rPr>
          <w:rFonts w:eastAsia="Calibri" w:cs="Times New Roman"/>
          <w:bCs/>
          <w:sz w:val="22"/>
          <w:szCs w:val="22"/>
        </w:rPr>
      </w:pPr>
    </w:p>
    <w:p w14:paraId="3977B142" w14:textId="0D90F86A" w:rsidR="00BD4F6A" w:rsidRPr="005D12C6" w:rsidRDefault="00BD4F6A" w:rsidP="00AB5EE6">
      <w:pPr>
        <w:spacing w:before="0" w:after="0"/>
        <w:rPr>
          <w:rFonts w:eastAsia="Calibri" w:cs="Times New Roman"/>
          <w:bCs/>
          <w:sz w:val="22"/>
          <w:szCs w:val="22"/>
        </w:rPr>
      </w:pPr>
      <w:r w:rsidRPr="005D12C6">
        <w:rPr>
          <w:rFonts w:eastAsia="Calibri" w:cs="Times New Roman"/>
          <w:bCs/>
          <w:sz w:val="22"/>
          <w:szCs w:val="22"/>
        </w:rPr>
        <w:t xml:space="preserve">La deuda pública del Estado de Michoacán, al </w:t>
      </w:r>
      <w:r w:rsidR="00053575" w:rsidRPr="005D12C6">
        <w:rPr>
          <w:rFonts w:eastAsia="Calibri" w:cs="Times New Roman"/>
          <w:bCs/>
          <w:sz w:val="22"/>
          <w:szCs w:val="22"/>
        </w:rPr>
        <w:t>3</w:t>
      </w:r>
      <w:r w:rsidR="00207B00" w:rsidRPr="005D12C6">
        <w:rPr>
          <w:rFonts w:eastAsia="Calibri" w:cs="Times New Roman"/>
          <w:bCs/>
          <w:sz w:val="22"/>
          <w:szCs w:val="22"/>
        </w:rPr>
        <w:t>0</w:t>
      </w:r>
      <w:r w:rsidR="00053575" w:rsidRPr="005D12C6">
        <w:rPr>
          <w:rFonts w:eastAsia="Calibri" w:cs="Times New Roman"/>
          <w:bCs/>
          <w:sz w:val="22"/>
          <w:szCs w:val="22"/>
        </w:rPr>
        <w:t xml:space="preserve"> de </w:t>
      </w:r>
      <w:r w:rsidR="009B6FBE" w:rsidRPr="005D12C6">
        <w:rPr>
          <w:rFonts w:eastAsia="Calibri" w:cs="Times New Roman"/>
          <w:sz w:val="22"/>
          <w:szCs w:val="22"/>
        </w:rPr>
        <w:t>junio</w:t>
      </w:r>
      <w:r w:rsidRPr="005D12C6">
        <w:rPr>
          <w:rFonts w:eastAsia="Calibri" w:cs="Times New Roman"/>
          <w:bCs/>
          <w:sz w:val="22"/>
          <w:szCs w:val="22"/>
        </w:rPr>
        <w:t xml:space="preserve"> de 202</w:t>
      </w:r>
      <w:r w:rsidR="004753C4" w:rsidRPr="005D12C6">
        <w:rPr>
          <w:rFonts w:eastAsia="Calibri" w:cs="Times New Roman"/>
          <w:bCs/>
          <w:sz w:val="22"/>
          <w:szCs w:val="22"/>
        </w:rPr>
        <w:t>4</w:t>
      </w:r>
      <w:r w:rsidRPr="005D12C6">
        <w:rPr>
          <w:rFonts w:eastAsia="Calibri" w:cs="Times New Roman"/>
          <w:bCs/>
          <w:sz w:val="22"/>
          <w:szCs w:val="22"/>
        </w:rPr>
        <w:t xml:space="preserve"> representa un </w:t>
      </w:r>
      <w:r w:rsidR="00806629" w:rsidRPr="005D12C6">
        <w:rPr>
          <w:rFonts w:eastAsia="Calibri" w:cs="Times New Roman"/>
          <w:bCs/>
          <w:sz w:val="22"/>
          <w:szCs w:val="22"/>
        </w:rPr>
        <w:t>3.</w:t>
      </w:r>
      <w:r w:rsidR="0090081D" w:rsidRPr="005D12C6">
        <w:rPr>
          <w:rFonts w:eastAsia="Calibri" w:cs="Times New Roman"/>
          <w:bCs/>
          <w:sz w:val="22"/>
          <w:szCs w:val="22"/>
        </w:rPr>
        <w:t>18</w:t>
      </w:r>
      <w:r w:rsidRPr="005D12C6">
        <w:rPr>
          <w:rFonts w:eastAsia="Calibri" w:cs="Times New Roman"/>
          <w:bCs/>
          <w:sz w:val="22"/>
          <w:szCs w:val="22"/>
        </w:rPr>
        <w:t>% del total de PIB estimado para es</w:t>
      </w:r>
      <w:r w:rsidR="003E2C2C" w:rsidRPr="005D12C6">
        <w:rPr>
          <w:rFonts w:eastAsia="Calibri" w:cs="Times New Roman"/>
          <w:bCs/>
          <w:sz w:val="22"/>
          <w:szCs w:val="22"/>
        </w:rPr>
        <w:t xml:space="preserve">ta entidad federativa, lo que </w:t>
      </w:r>
      <w:r w:rsidRPr="005D12C6">
        <w:rPr>
          <w:rFonts w:eastAsia="Calibri" w:cs="Times New Roman"/>
          <w:bCs/>
          <w:sz w:val="22"/>
          <w:szCs w:val="22"/>
        </w:rPr>
        <w:t xml:space="preserve">muestra una disminución gradual que se ha venido observando desde el ejercicio fiscal 2016, </w:t>
      </w:r>
      <w:r w:rsidR="00C71ACF" w:rsidRPr="005D12C6">
        <w:rPr>
          <w:rFonts w:eastAsia="Calibri" w:cs="Times New Roman"/>
          <w:bCs/>
          <w:sz w:val="22"/>
          <w:szCs w:val="22"/>
        </w:rPr>
        <w:t xml:space="preserve">con un ligero repunte en </w:t>
      </w:r>
      <w:r w:rsidR="0090081D" w:rsidRPr="005D12C6">
        <w:rPr>
          <w:rFonts w:eastAsia="Calibri" w:cs="Times New Roman"/>
          <w:bCs/>
          <w:sz w:val="22"/>
          <w:szCs w:val="22"/>
        </w:rPr>
        <w:t>los segundo</w:t>
      </w:r>
      <w:r w:rsidR="00875AEC" w:rsidRPr="005D12C6">
        <w:rPr>
          <w:rFonts w:eastAsia="Calibri" w:cs="Times New Roman"/>
          <w:bCs/>
          <w:sz w:val="22"/>
          <w:szCs w:val="22"/>
        </w:rPr>
        <w:t xml:space="preserve"> trimestre</w:t>
      </w:r>
      <w:r w:rsidR="00C71ACF" w:rsidRPr="005D12C6">
        <w:rPr>
          <w:rFonts w:eastAsia="Calibri" w:cs="Times New Roman"/>
          <w:bCs/>
          <w:sz w:val="22"/>
          <w:szCs w:val="22"/>
        </w:rPr>
        <w:t xml:space="preserve"> de 202</w:t>
      </w:r>
      <w:r w:rsidR="004753C4" w:rsidRPr="005D12C6">
        <w:rPr>
          <w:rFonts w:eastAsia="Calibri" w:cs="Times New Roman"/>
          <w:bCs/>
          <w:sz w:val="22"/>
          <w:szCs w:val="22"/>
        </w:rPr>
        <w:t>4</w:t>
      </w:r>
      <w:r w:rsidR="00C52694" w:rsidRPr="005D12C6">
        <w:rPr>
          <w:rFonts w:eastAsia="Calibri" w:cs="Times New Roman"/>
          <w:bCs/>
          <w:sz w:val="22"/>
          <w:szCs w:val="22"/>
        </w:rPr>
        <w:t>, debido principalmente a la reestructuración de la deuda</w:t>
      </w:r>
      <w:r w:rsidR="00C71ACF" w:rsidRPr="005D12C6">
        <w:rPr>
          <w:rFonts w:eastAsia="Calibri" w:cs="Times New Roman"/>
          <w:bCs/>
          <w:sz w:val="22"/>
          <w:szCs w:val="22"/>
        </w:rPr>
        <w:t xml:space="preserve">, </w:t>
      </w:r>
      <w:r w:rsidR="00E85501" w:rsidRPr="005D12C6">
        <w:rPr>
          <w:rFonts w:eastAsia="Calibri" w:cs="Times New Roman"/>
          <w:bCs/>
          <w:sz w:val="22"/>
          <w:szCs w:val="22"/>
        </w:rPr>
        <w:t>manteniendo</w:t>
      </w:r>
      <w:r w:rsidR="00C71ACF" w:rsidRPr="005D12C6">
        <w:rPr>
          <w:rFonts w:eastAsia="Calibri" w:cs="Times New Roman"/>
          <w:bCs/>
          <w:sz w:val="22"/>
          <w:szCs w:val="22"/>
        </w:rPr>
        <w:t xml:space="preserve"> los parámetros </w:t>
      </w:r>
      <w:r w:rsidR="00C71ACF" w:rsidRPr="005D12C6">
        <w:rPr>
          <w:rFonts w:eastAsia="Calibri" w:cs="Times New Roman"/>
          <w:bCs/>
          <w:sz w:val="22"/>
          <w:szCs w:val="22"/>
        </w:rPr>
        <w:lastRenderedPageBreak/>
        <w:t xml:space="preserve">aceptables por la Ley de Disciplina Financiera de las Entidades y los Municipios, </w:t>
      </w:r>
      <w:r w:rsidRPr="005D12C6">
        <w:rPr>
          <w:rFonts w:eastAsia="Calibri" w:cs="Times New Roman"/>
          <w:bCs/>
          <w:sz w:val="22"/>
          <w:szCs w:val="22"/>
        </w:rPr>
        <w:t>como se muestra en las gráficas siguientes:</w:t>
      </w:r>
    </w:p>
    <w:p w14:paraId="33763373" w14:textId="435972E8" w:rsidR="00AB5EE6" w:rsidRPr="005D12C6" w:rsidRDefault="00B609F0" w:rsidP="00AB5EE6">
      <w:pPr>
        <w:spacing w:before="0" w:after="0"/>
        <w:rPr>
          <w:rFonts w:eastAsia="Calibri" w:cs="Times New Roman"/>
          <w:bCs/>
          <w:sz w:val="22"/>
          <w:szCs w:val="22"/>
        </w:rPr>
      </w:pPr>
      <w:r w:rsidRPr="00B609F0">
        <w:rPr>
          <w:noProof/>
          <w:lang w:val="es-MX" w:eastAsia="es-MX"/>
        </w:rPr>
        <w:drawing>
          <wp:inline distT="0" distB="0" distL="0" distR="0" wp14:anchorId="1E27507C" wp14:editId="57573076">
            <wp:extent cx="6351270" cy="132730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1327303"/>
                    </a:xfrm>
                    <a:prstGeom prst="rect">
                      <a:avLst/>
                    </a:prstGeom>
                    <a:noFill/>
                    <a:ln>
                      <a:noFill/>
                    </a:ln>
                  </pic:spPr>
                </pic:pic>
              </a:graphicData>
            </a:graphic>
          </wp:inline>
        </w:drawing>
      </w:r>
    </w:p>
    <w:p w14:paraId="1ACB3C41" w14:textId="77777777" w:rsidR="0090081D" w:rsidRPr="005D12C6" w:rsidRDefault="0090081D" w:rsidP="00AB5EE6">
      <w:pPr>
        <w:spacing w:before="0" w:after="0"/>
        <w:rPr>
          <w:rFonts w:eastAsia="Calibri" w:cs="Times New Roman"/>
          <w:bCs/>
          <w:sz w:val="22"/>
          <w:szCs w:val="22"/>
        </w:rPr>
      </w:pPr>
    </w:p>
    <w:p w14:paraId="278B53C8" w14:textId="59290A61" w:rsidR="0090081D" w:rsidRPr="005D12C6" w:rsidRDefault="0090081D" w:rsidP="0090081D">
      <w:pPr>
        <w:spacing w:before="0" w:after="0"/>
        <w:jc w:val="center"/>
        <w:rPr>
          <w:rFonts w:eastAsia="Calibri" w:cs="Times New Roman"/>
          <w:bCs/>
          <w:sz w:val="22"/>
          <w:szCs w:val="22"/>
        </w:rPr>
      </w:pPr>
      <w:r w:rsidRPr="005D12C6">
        <w:rPr>
          <w:rFonts w:eastAsia="Calibri" w:cs="Times New Roman"/>
          <w:bCs/>
          <w:noProof/>
          <w:sz w:val="22"/>
          <w:szCs w:val="22"/>
          <w:lang w:val="es-MX" w:eastAsia="es-MX"/>
        </w:rPr>
        <w:drawing>
          <wp:inline distT="0" distB="0" distL="0" distR="0" wp14:anchorId="3E46BCF5" wp14:editId="18DCD0FA">
            <wp:extent cx="4099272" cy="2116624"/>
            <wp:effectExtent l="0" t="0" r="0" b="0"/>
            <wp:docPr id="74557972" name="Imagen 7455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9567" cy="2147757"/>
                    </a:xfrm>
                    <a:prstGeom prst="rect">
                      <a:avLst/>
                    </a:prstGeom>
                    <a:noFill/>
                  </pic:spPr>
                </pic:pic>
              </a:graphicData>
            </a:graphic>
          </wp:inline>
        </w:drawing>
      </w:r>
    </w:p>
    <w:p w14:paraId="41DC0D5B" w14:textId="6270344C" w:rsidR="002A453D" w:rsidRPr="005D12C6" w:rsidRDefault="002A453D" w:rsidP="00BD4F6A">
      <w:pPr>
        <w:spacing w:before="0" w:after="0"/>
        <w:rPr>
          <w:rFonts w:eastAsia="Calibri" w:cs="Times New Roman"/>
          <w:bCs/>
          <w:sz w:val="22"/>
          <w:szCs w:val="22"/>
        </w:rPr>
      </w:pPr>
    </w:p>
    <w:p w14:paraId="0EC38919" w14:textId="16572E12" w:rsidR="00BD4F6A" w:rsidRPr="005D12C6" w:rsidRDefault="00BD4F6A" w:rsidP="00AB5EE6">
      <w:pPr>
        <w:spacing w:before="0" w:after="0"/>
        <w:rPr>
          <w:rFonts w:eastAsia="Calibri" w:cs="Times New Roman"/>
          <w:bCs/>
          <w:sz w:val="22"/>
          <w:szCs w:val="22"/>
        </w:rPr>
      </w:pPr>
      <w:bookmarkStart w:id="3" w:name="_Hlk133586266"/>
      <w:r w:rsidRPr="005D12C6">
        <w:rPr>
          <w:rFonts w:eastAsia="Calibri" w:cs="Times New Roman"/>
          <w:bCs/>
          <w:sz w:val="22"/>
          <w:szCs w:val="22"/>
        </w:rPr>
        <w:t xml:space="preserve">En el mismo sentido, el saldo de la Deuda </w:t>
      </w:r>
      <w:r w:rsidR="00901369" w:rsidRPr="005D12C6">
        <w:rPr>
          <w:rFonts w:eastAsia="Calibri" w:cs="Times New Roman"/>
          <w:bCs/>
          <w:sz w:val="22"/>
          <w:szCs w:val="22"/>
        </w:rPr>
        <w:t>P</w:t>
      </w:r>
      <w:r w:rsidRPr="005D12C6">
        <w:rPr>
          <w:rFonts w:eastAsia="Calibri" w:cs="Times New Roman"/>
          <w:bCs/>
          <w:sz w:val="22"/>
          <w:szCs w:val="22"/>
        </w:rPr>
        <w:t xml:space="preserve">ública, ya mencionado, respecto a la recaudación de ingresos de libre disposición, representa un </w:t>
      </w:r>
      <w:r w:rsidR="00875AEC" w:rsidRPr="005D12C6">
        <w:rPr>
          <w:rFonts w:eastAsia="Calibri" w:cs="Times New Roman"/>
          <w:bCs/>
          <w:sz w:val="22"/>
          <w:szCs w:val="22"/>
        </w:rPr>
        <w:t>4</w:t>
      </w:r>
      <w:r w:rsidR="0090081D" w:rsidRPr="005D12C6">
        <w:rPr>
          <w:rFonts w:eastAsia="Calibri" w:cs="Times New Roman"/>
          <w:bCs/>
          <w:sz w:val="22"/>
          <w:szCs w:val="22"/>
        </w:rPr>
        <w:t>3</w:t>
      </w:r>
      <w:r w:rsidR="004753C4" w:rsidRPr="005D12C6">
        <w:rPr>
          <w:rFonts w:eastAsia="Calibri" w:cs="Times New Roman"/>
          <w:bCs/>
          <w:sz w:val="22"/>
          <w:szCs w:val="22"/>
        </w:rPr>
        <w:t>.</w:t>
      </w:r>
      <w:r w:rsidR="0090081D" w:rsidRPr="005D12C6">
        <w:rPr>
          <w:rFonts w:eastAsia="Calibri" w:cs="Times New Roman"/>
          <w:bCs/>
          <w:sz w:val="22"/>
          <w:szCs w:val="22"/>
        </w:rPr>
        <w:t>88</w:t>
      </w:r>
      <w:r w:rsidRPr="005D12C6">
        <w:rPr>
          <w:rFonts w:eastAsia="Calibri" w:cs="Times New Roman"/>
          <w:bCs/>
          <w:sz w:val="22"/>
          <w:szCs w:val="22"/>
        </w:rPr>
        <w:t>%, el cual se encuentra dentro de los parámetros establecidos por la Ley de Disciplina Financiera.</w:t>
      </w:r>
    </w:p>
    <w:p w14:paraId="7E6F2A5E" w14:textId="77777777" w:rsidR="00BD4F6A" w:rsidRPr="005D12C6" w:rsidRDefault="00BD4F6A" w:rsidP="00AB5EE6">
      <w:pPr>
        <w:spacing w:before="0" w:after="0"/>
        <w:rPr>
          <w:rFonts w:eastAsia="Calibri" w:cs="Times New Roman"/>
          <w:bCs/>
          <w:sz w:val="22"/>
          <w:szCs w:val="22"/>
        </w:rPr>
      </w:pPr>
    </w:p>
    <w:p w14:paraId="09B95163" w14:textId="66278EAF" w:rsidR="00BD4F6A" w:rsidRPr="005D12C6" w:rsidRDefault="00BD4F6A" w:rsidP="00AB5EE6">
      <w:pPr>
        <w:spacing w:before="0" w:after="0"/>
        <w:rPr>
          <w:rFonts w:eastAsia="Calibri" w:cs="Times New Roman"/>
          <w:bCs/>
          <w:sz w:val="22"/>
          <w:szCs w:val="22"/>
        </w:rPr>
      </w:pPr>
      <w:r w:rsidRPr="005D12C6">
        <w:rPr>
          <w:rFonts w:eastAsia="Calibri" w:cs="Times New Roman"/>
          <w:bCs/>
          <w:sz w:val="22"/>
          <w:szCs w:val="22"/>
        </w:rPr>
        <w:t xml:space="preserve">Es de destacar que también en este indicador, podemos observar una tendencia a la baja, </w:t>
      </w:r>
      <w:r w:rsidR="002A453D" w:rsidRPr="005D12C6">
        <w:rPr>
          <w:rFonts w:eastAsia="Calibri" w:cs="Times New Roman"/>
          <w:bCs/>
          <w:sz w:val="22"/>
          <w:szCs w:val="22"/>
        </w:rPr>
        <w:t>desde el ejercicio fiscal 2016</w:t>
      </w:r>
      <w:r w:rsidR="00C71ACF" w:rsidRPr="005D12C6">
        <w:rPr>
          <w:rFonts w:eastAsia="Calibri" w:cs="Times New Roman"/>
          <w:bCs/>
          <w:sz w:val="22"/>
          <w:szCs w:val="22"/>
        </w:rPr>
        <w:t xml:space="preserve">, </w:t>
      </w:r>
      <w:r w:rsidRPr="005D12C6">
        <w:rPr>
          <w:rFonts w:eastAsia="Calibri" w:cs="Times New Roman"/>
          <w:bCs/>
          <w:sz w:val="22"/>
          <w:szCs w:val="22"/>
        </w:rPr>
        <w:t>como se muestra en las gráficas siguientes:</w:t>
      </w:r>
    </w:p>
    <w:p w14:paraId="655B417D" w14:textId="77777777" w:rsidR="002A453D" w:rsidRPr="005D12C6" w:rsidRDefault="002A453D" w:rsidP="00BD4F6A">
      <w:pPr>
        <w:spacing w:before="0" w:after="0"/>
        <w:rPr>
          <w:rFonts w:eastAsia="Calibri" w:cs="Times New Roman"/>
          <w:bCs/>
          <w:sz w:val="22"/>
          <w:szCs w:val="22"/>
        </w:rPr>
      </w:pPr>
    </w:p>
    <w:p w14:paraId="2573F28C" w14:textId="73706213" w:rsidR="00BD4F6A" w:rsidRPr="005D12C6" w:rsidRDefault="00BD4F6A" w:rsidP="00BD4F6A">
      <w:pPr>
        <w:spacing w:before="0" w:after="0"/>
        <w:rPr>
          <w:rFonts w:eastAsia="Calibri" w:cs="Times New Roman"/>
          <w:b/>
          <w:sz w:val="22"/>
          <w:szCs w:val="22"/>
        </w:rPr>
      </w:pPr>
    </w:p>
    <w:p w14:paraId="61601042" w14:textId="77777777" w:rsidR="0090081D" w:rsidRPr="005D12C6" w:rsidRDefault="0090081D" w:rsidP="00BD4F6A">
      <w:pPr>
        <w:spacing w:before="0" w:after="0"/>
        <w:rPr>
          <w:rFonts w:eastAsia="Calibri" w:cs="Times New Roman"/>
          <w:b/>
          <w:sz w:val="22"/>
          <w:szCs w:val="22"/>
        </w:rPr>
      </w:pPr>
    </w:p>
    <w:p w14:paraId="7CF687E5" w14:textId="77777777" w:rsidR="0090081D" w:rsidRPr="005D12C6" w:rsidRDefault="0090081D" w:rsidP="00BD4F6A">
      <w:pPr>
        <w:spacing w:before="0" w:after="0"/>
        <w:rPr>
          <w:rFonts w:eastAsia="Calibri" w:cs="Times New Roman"/>
          <w:b/>
          <w:sz w:val="22"/>
          <w:szCs w:val="22"/>
        </w:rPr>
      </w:pPr>
    </w:p>
    <w:p w14:paraId="18C84984" w14:textId="77777777" w:rsidR="0090081D" w:rsidRPr="005D12C6" w:rsidRDefault="0090081D" w:rsidP="00BD4F6A">
      <w:pPr>
        <w:spacing w:before="0" w:after="0"/>
        <w:rPr>
          <w:rFonts w:eastAsia="Calibri" w:cs="Times New Roman"/>
          <w:b/>
          <w:sz w:val="22"/>
          <w:szCs w:val="22"/>
        </w:rPr>
      </w:pPr>
    </w:p>
    <w:p w14:paraId="56B90107" w14:textId="2AC0212E" w:rsidR="0090081D" w:rsidRPr="005D12C6" w:rsidRDefault="00B609F0" w:rsidP="00BD4F6A">
      <w:pPr>
        <w:spacing w:before="0" w:after="0"/>
        <w:rPr>
          <w:rFonts w:eastAsia="Calibri" w:cs="Times New Roman"/>
          <w:b/>
          <w:sz w:val="22"/>
          <w:szCs w:val="22"/>
        </w:rPr>
      </w:pPr>
      <w:r w:rsidRPr="00B609F0">
        <w:rPr>
          <w:noProof/>
          <w:lang w:val="es-MX" w:eastAsia="es-MX"/>
        </w:rPr>
        <w:lastRenderedPageBreak/>
        <w:drawing>
          <wp:inline distT="0" distB="0" distL="0" distR="0" wp14:anchorId="44D506FB" wp14:editId="44658600">
            <wp:extent cx="6351270" cy="11674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270" cy="1167471"/>
                    </a:xfrm>
                    <a:prstGeom prst="rect">
                      <a:avLst/>
                    </a:prstGeom>
                    <a:noFill/>
                    <a:ln>
                      <a:noFill/>
                    </a:ln>
                  </pic:spPr>
                </pic:pic>
              </a:graphicData>
            </a:graphic>
          </wp:inline>
        </w:drawing>
      </w:r>
    </w:p>
    <w:p w14:paraId="6F24DC5B" w14:textId="1DF96CC6" w:rsidR="00C24CC7" w:rsidRPr="005D12C6" w:rsidRDefault="0090081D" w:rsidP="0090081D">
      <w:pPr>
        <w:spacing w:before="0" w:after="0"/>
        <w:jc w:val="center"/>
        <w:rPr>
          <w:rFonts w:eastAsia="Calibri" w:cs="Times New Roman"/>
          <w:b/>
          <w:sz w:val="22"/>
          <w:szCs w:val="22"/>
        </w:rPr>
      </w:pPr>
      <w:r w:rsidRPr="005D12C6">
        <w:rPr>
          <w:noProof/>
          <w:lang w:val="es-MX" w:eastAsia="es-MX"/>
        </w:rPr>
        <w:drawing>
          <wp:inline distT="0" distB="0" distL="0" distR="0" wp14:anchorId="7C2DB437" wp14:editId="38D3BD87">
            <wp:extent cx="4920846" cy="2730853"/>
            <wp:effectExtent l="0" t="0" r="0" b="0"/>
            <wp:docPr id="74557970" name="Imagen 7455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9916" cy="2758085"/>
                    </a:xfrm>
                    <a:prstGeom prst="rect">
                      <a:avLst/>
                    </a:prstGeom>
                    <a:noFill/>
                    <a:ln>
                      <a:noFill/>
                    </a:ln>
                  </pic:spPr>
                </pic:pic>
              </a:graphicData>
            </a:graphic>
          </wp:inline>
        </w:drawing>
      </w:r>
    </w:p>
    <w:p w14:paraId="07D3F649" w14:textId="3835615C" w:rsidR="00BD4F6A" w:rsidRPr="005D12C6" w:rsidRDefault="00BD4F6A" w:rsidP="00BD4F6A">
      <w:pPr>
        <w:spacing w:before="0" w:after="0"/>
        <w:jc w:val="center"/>
        <w:rPr>
          <w:rFonts w:eastAsia="Calibri" w:cs="Times New Roman"/>
          <w:b/>
          <w:sz w:val="22"/>
          <w:szCs w:val="22"/>
        </w:rPr>
      </w:pPr>
    </w:p>
    <w:bookmarkEnd w:id="3"/>
    <w:p w14:paraId="221F18A3" w14:textId="2D333161"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1</w:t>
      </w:r>
      <w:r w:rsidR="00C85D46" w:rsidRPr="005D12C6">
        <w:rPr>
          <w:rFonts w:eastAsia="Calibri" w:cs="Times New Roman"/>
          <w:b/>
          <w:sz w:val="22"/>
          <w:szCs w:val="22"/>
        </w:rPr>
        <w:t>1</w:t>
      </w:r>
      <w:r w:rsidRPr="005D12C6">
        <w:rPr>
          <w:rFonts w:eastAsia="Calibri" w:cs="Times New Roman"/>
          <w:b/>
          <w:sz w:val="22"/>
          <w:szCs w:val="22"/>
        </w:rPr>
        <w:t>. Calificaciones otorgadas</w:t>
      </w:r>
    </w:p>
    <w:p w14:paraId="1E00EA60" w14:textId="50C5F1C6" w:rsidR="00BD4F6A" w:rsidRPr="005D12C6" w:rsidRDefault="00D16045" w:rsidP="00AB5EE6">
      <w:pPr>
        <w:spacing w:before="0" w:after="0"/>
        <w:rPr>
          <w:rFonts w:eastAsia="Calibri" w:cs="Times New Roman"/>
          <w:b/>
          <w:sz w:val="22"/>
          <w:szCs w:val="22"/>
        </w:rPr>
      </w:pPr>
      <w:r w:rsidRPr="005D12C6">
        <w:rPr>
          <w:rFonts w:eastAsia="Calibri" w:cs="Times New Roman"/>
          <w:b/>
          <w:sz w:val="22"/>
          <w:szCs w:val="22"/>
        </w:rPr>
        <w:t>FITCH RATINGS</w:t>
      </w:r>
      <w:r w:rsidR="00BD4F6A" w:rsidRPr="005D12C6">
        <w:rPr>
          <w:rFonts w:eastAsia="Calibri" w:cs="Times New Roman"/>
          <w:b/>
          <w:sz w:val="22"/>
          <w:szCs w:val="22"/>
        </w:rPr>
        <w:t>.</w:t>
      </w:r>
    </w:p>
    <w:p w14:paraId="242C3174" w14:textId="7275F41E" w:rsidR="00BD4F6A" w:rsidRPr="005D12C6" w:rsidRDefault="00D16045" w:rsidP="00AB5EE6">
      <w:pPr>
        <w:spacing w:before="0" w:after="0"/>
        <w:rPr>
          <w:rFonts w:eastAsia="Calibri" w:cs="Times New Roman"/>
          <w:bCs/>
          <w:sz w:val="22"/>
          <w:szCs w:val="22"/>
        </w:rPr>
      </w:pPr>
      <w:r w:rsidRPr="005D12C6">
        <w:rPr>
          <w:rFonts w:eastAsia="Calibri" w:cs="Times New Roman"/>
          <w:bCs/>
          <w:sz w:val="22"/>
          <w:szCs w:val="22"/>
        </w:rPr>
        <w:t xml:space="preserve">La calificadora </w:t>
      </w:r>
      <w:proofErr w:type="spellStart"/>
      <w:r w:rsidRPr="005D12C6">
        <w:rPr>
          <w:rFonts w:eastAsia="Calibri" w:cs="Times New Roman"/>
          <w:bCs/>
          <w:sz w:val="22"/>
          <w:szCs w:val="22"/>
        </w:rPr>
        <w:t>Fitch</w:t>
      </w:r>
      <w:proofErr w:type="spellEnd"/>
      <w:r w:rsidRPr="005D12C6">
        <w:rPr>
          <w:rFonts w:eastAsia="Calibri" w:cs="Times New Roman"/>
          <w:bCs/>
          <w:sz w:val="22"/>
          <w:szCs w:val="22"/>
        </w:rPr>
        <w:t xml:space="preserve"> Ratings, </w:t>
      </w:r>
      <w:r w:rsidR="00E62353" w:rsidRPr="005D12C6">
        <w:rPr>
          <w:rFonts w:eastAsia="Calibri" w:cs="Times New Roman"/>
          <w:bCs/>
          <w:sz w:val="22"/>
          <w:szCs w:val="22"/>
        </w:rPr>
        <w:t xml:space="preserve">para </w:t>
      </w:r>
      <w:r w:rsidR="00E00B0B" w:rsidRPr="005D12C6">
        <w:rPr>
          <w:rFonts w:eastAsia="Calibri" w:cs="Times New Roman"/>
          <w:bCs/>
          <w:sz w:val="22"/>
          <w:szCs w:val="22"/>
        </w:rPr>
        <w:t>ocho</w:t>
      </w:r>
      <w:r w:rsidR="00E62353" w:rsidRPr="005D12C6">
        <w:rPr>
          <w:rFonts w:eastAsia="Calibri" w:cs="Times New Roman"/>
          <w:bCs/>
          <w:sz w:val="22"/>
          <w:szCs w:val="22"/>
        </w:rPr>
        <w:t xml:space="preserve"> créditos contratados a un plazo de 20 años, con periodicidad de pago mensual</w:t>
      </w:r>
      <w:r w:rsidRPr="005D12C6">
        <w:rPr>
          <w:rFonts w:eastAsia="Calibri" w:cs="Times New Roman"/>
          <w:bCs/>
          <w:sz w:val="22"/>
          <w:szCs w:val="22"/>
        </w:rPr>
        <w:t xml:space="preserve">, otorgó una calificación de </w:t>
      </w:r>
      <w:r w:rsidR="00E62353" w:rsidRPr="005D12C6">
        <w:rPr>
          <w:rFonts w:eastAsia="Calibri" w:cs="Times New Roman"/>
          <w:bCs/>
          <w:sz w:val="22"/>
          <w:szCs w:val="22"/>
        </w:rPr>
        <w:t>AA-(</w:t>
      </w:r>
      <w:proofErr w:type="spellStart"/>
      <w:r w:rsidR="00E62353" w:rsidRPr="005D12C6">
        <w:rPr>
          <w:rFonts w:eastAsia="Calibri" w:cs="Times New Roman"/>
          <w:bCs/>
          <w:sz w:val="22"/>
          <w:szCs w:val="22"/>
        </w:rPr>
        <w:t>mex</w:t>
      </w:r>
      <w:proofErr w:type="spellEnd"/>
      <w:proofErr w:type="gramStart"/>
      <w:r w:rsidR="00E62353" w:rsidRPr="005D12C6">
        <w:rPr>
          <w:rFonts w:eastAsia="Calibri" w:cs="Times New Roman"/>
          <w:bCs/>
          <w:sz w:val="22"/>
          <w:szCs w:val="22"/>
        </w:rPr>
        <w:t>)</w:t>
      </w:r>
      <w:proofErr w:type="spellStart"/>
      <w:r w:rsidR="00E62353" w:rsidRPr="005D12C6">
        <w:rPr>
          <w:rFonts w:eastAsia="Calibri" w:cs="Times New Roman"/>
          <w:bCs/>
          <w:sz w:val="22"/>
          <w:szCs w:val="22"/>
        </w:rPr>
        <w:t>vra</w:t>
      </w:r>
      <w:proofErr w:type="spellEnd"/>
      <w:proofErr w:type="gramEnd"/>
      <w:r w:rsidRPr="005D12C6">
        <w:rPr>
          <w:rFonts w:eastAsia="Calibri" w:cs="Times New Roman"/>
          <w:bCs/>
          <w:sz w:val="22"/>
          <w:szCs w:val="22"/>
        </w:rPr>
        <w:t xml:space="preserve">, </w:t>
      </w:r>
      <w:r w:rsidR="00E62353" w:rsidRPr="005D12C6">
        <w:rPr>
          <w:rFonts w:eastAsia="Calibri" w:cs="Times New Roman"/>
          <w:bCs/>
          <w:sz w:val="22"/>
          <w:szCs w:val="22"/>
        </w:rPr>
        <w:t xml:space="preserve">el </w:t>
      </w:r>
      <w:r w:rsidR="00E00B0B" w:rsidRPr="005D12C6">
        <w:rPr>
          <w:rFonts w:eastAsia="Calibri" w:cs="Times New Roman"/>
          <w:bCs/>
          <w:sz w:val="22"/>
          <w:szCs w:val="22"/>
        </w:rPr>
        <w:t>31</w:t>
      </w:r>
      <w:r w:rsidR="00E62353" w:rsidRPr="005D12C6">
        <w:rPr>
          <w:rFonts w:eastAsia="Calibri" w:cs="Times New Roman"/>
          <w:bCs/>
          <w:sz w:val="22"/>
          <w:szCs w:val="22"/>
        </w:rPr>
        <w:t xml:space="preserve"> de </w:t>
      </w:r>
      <w:r w:rsidR="00E00B0B" w:rsidRPr="005D12C6">
        <w:rPr>
          <w:rFonts w:eastAsia="Calibri" w:cs="Times New Roman"/>
          <w:bCs/>
          <w:sz w:val="22"/>
          <w:szCs w:val="22"/>
        </w:rPr>
        <w:t>marzo</w:t>
      </w:r>
      <w:r w:rsidR="00E62353" w:rsidRPr="005D12C6">
        <w:rPr>
          <w:rFonts w:eastAsia="Calibri" w:cs="Times New Roman"/>
          <w:bCs/>
          <w:sz w:val="22"/>
          <w:szCs w:val="22"/>
        </w:rPr>
        <w:t xml:space="preserve"> de 202</w:t>
      </w:r>
      <w:r w:rsidR="00E00B0B" w:rsidRPr="005D12C6">
        <w:rPr>
          <w:rFonts w:eastAsia="Calibri" w:cs="Times New Roman"/>
          <w:bCs/>
          <w:sz w:val="22"/>
          <w:szCs w:val="22"/>
        </w:rPr>
        <w:t>4</w:t>
      </w:r>
      <w:r w:rsidR="00E62353" w:rsidRPr="005D12C6">
        <w:rPr>
          <w:rFonts w:eastAsia="Calibri" w:cs="Times New Roman"/>
          <w:bCs/>
          <w:sz w:val="22"/>
          <w:szCs w:val="22"/>
        </w:rPr>
        <w:t xml:space="preserve">, considerando que el desempeño de los activos es “Más fuerte”, el activo </w:t>
      </w:r>
      <w:proofErr w:type="spellStart"/>
      <w:r w:rsidR="00E62353" w:rsidRPr="005D12C6">
        <w:rPr>
          <w:rFonts w:eastAsia="Calibri" w:cs="Times New Roman"/>
          <w:bCs/>
          <w:sz w:val="22"/>
          <w:szCs w:val="22"/>
        </w:rPr>
        <w:t>fideicomitido</w:t>
      </w:r>
      <w:proofErr w:type="spellEnd"/>
      <w:r w:rsidR="00E62353" w:rsidRPr="005D12C6">
        <w:rPr>
          <w:rFonts w:eastAsia="Calibri" w:cs="Times New Roman"/>
          <w:bCs/>
          <w:sz w:val="22"/>
          <w:szCs w:val="22"/>
        </w:rPr>
        <w:t xml:space="preserve"> es sólido y presenta un comportamiento adecuado. El Riesgo de la tasa de interés se considera en “Rango Medio”, mientras que el Fondo de Reserva se considera “Más fuer</w:t>
      </w:r>
      <w:r w:rsidR="00565FF7" w:rsidRPr="005D12C6">
        <w:rPr>
          <w:rFonts w:eastAsia="Calibri" w:cs="Times New Roman"/>
          <w:bCs/>
          <w:sz w:val="22"/>
          <w:szCs w:val="22"/>
        </w:rPr>
        <w:t>te”, al igual de l</w:t>
      </w:r>
      <w:r w:rsidR="00E62353" w:rsidRPr="005D12C6">
        <w:rPr>
          <w:rFonts w:eastAsia="Calibri" w:cs="Times New Roman"/>
          <w:bCs/>
          <w:sz w:val="22"/>
          <w:szCs w:val="22"/>
        </w:rPr>
        <w:t xml:space="preserve">a cobertura de deuda. </w:t>
      </w:r>
    </w:p>
    <w:p w14:paraId="3E952B96" w14:textId="7BB5EC0F" w:rsidR="00D16045" w:rsidRPr="005D12C6" w:rsidRDefault="00D16045" w:rsidP="00AB5EE6">
      <w:pPr>
        <w:spacing w:before="0" w:after="0"/>
        <w:rPr>
          <w:rFonts w:eastAsia="Calibri" w:cs="Times New Roman"/>
          <w:bCs/>
          <w:sz w:val="22"/>
          <w:szCs w:val="22"/>
        </w:rPr>
      </w:pPr>
    </w:p>
    <w:p w14:paraId="2154A1C0" w14:textId="44EA0A4C" w:rsidR="00806629" w:rsidRPr="005D12C6" w:rsidRDefault="00806629" w:rsidP="00AB5EE6">
      <w:pPr>
        <w:spacing w:before="0" w:after="0"/>
        <w:rPr>
          <w:rFonts w:eastAsia="Calibri" w:cs="Times New Roman"/>
          <w:b/>
          <w:sz w:val="22"/>
          <w:szCs w:val="22"/>
        </w:rPr>
      </w:pPr>
      <w:r w:rsidRPr="005D12C6">
        <w:rPr>
          <w:rFonts w:eastAsia="Calibri" w:cs="Times New Roman"/>
          <w:b/>
          <w:sz w:val="22"/>
          <w:szCs w:val="22"/>
        </w:rPr>
        <w:t>HR RATINGS</w:t>
      </w:r>
    </w:p>
    <w:p w14:paraId="6199E537" w14:textId="02B89F07" w:rsidR="00806629" w:rsidRPr="005D12C6" w:rsidRDefault="00D47963" w:rsidP="00AB5EE6">
      <w:pPr>
        <w:spacing w:before="0" w:after="0"/>
        <w:rPr>
          <w:rFonts w:eastAsia="Calibri" w:cs="Times New Roman"/>
          <w:bCs/>
          <w:sz w:val="22"/>
          <w:szCs w:val="22"/>
        </w:rPr>
      </w:pPr>
      <w:r w:rsidRPr="005D12C6">
        <w:rPr>
          <w:rFonts w:eastAsia="Calibri" w:cs="Times New Roman"/>
          <w:bCs/>
          <w:sz w:val="22"/>
          <w:szCs w:val="22"/>
        </w:rPr>
        <w:t xml:space="preserve">La calificación de HR Ratings, </w:t>
      </w:r>
      <w:proofErr w:type="spellStart"/>
      <w:r w:rsidRPr="005D12C6">
        <w:rPr>
          <w:rFonts w:eastAsia="Calibri" w:cs="Times New Roman"/>
          <w:bCs/>
          <w:sz w:val="22"/>
          <w:szCs w:val="22"/>
        </w:rPr>
        <w:t>Credit</w:t>
      </w:r>
      <w:proofErr w:type="spellEnd"/>
      <w:r w:rsidRPr="005D12C6">
        <w:rPr>
          <w:rFonts w:eastAsia="Calibri" w:cs="Times New Roman"/>
          <w:bCs/>
          <w:sz w:val="22"/>
          <w:szCs w:val="22"/>
        </w:rPr>
        <w:t xml:space="preserve"> Rating Agency </w:t>
      </w:r>
      <w:r w:rsidR="006131F6" w:rsidRPr="005D12C6">
        <w:rPr>
          <w:rFonts w:eastAsia="Calibri" w:cs="Times New Roman"/>
          <w:bCs/>
          <w:sz w:val="22"/>
          <w:szCs w:val="22"/>
        </w:rPr>
        <w:t xml:space="preserve">en sus </w:t>
      </w:r>
      <w:r w:rsidR="00510CF2" w:rsidRPr="005D12C6">
        <w:rPr>
          <w:rFonts w:eastAsia="Calibri" w:cs="Times New Roman"/>
          <w:bCs/>
          <w:sz w:val="22"/>
          <w:szCs w:val="22"/>
        </w:rPr>
        <w:t>ocho</w:t>
      </w:r>
      <w:r w:rsidRPr="005D12C6">
        <w:rPr>
          <w:rFonts w:eastAsia="Calibri" w:cs="Times New Roman"/>
          <w:bCs/>
          <w:sz w:val="22"/>
          <w:szCs w:val="22"/>
        </w:rPr>
        <w:t xml:space="preserve"> calificaciones se mantiene en AAA</w:t>
      </w:r>
      <w:r w:rsidR="006257D0" w:rsidRPr="005D12C6">
        <w:rPr>
          <w:rFonts w:eastAsia="Calibri" w:cs="Times New Roman"/>
          <w:bCs/>
          <w:sz w:val="22"/>
          <w:szCs w:val="22"/>
        </w:rPr>
        <w:t xml:space="preserve"> (E)</w:t>
      </w:r>
      <w:r w:rsidRPr="005D12C6">
        <w:rPr>
          <w:rFonts w:eastAsia="Calibri" w:cs="Times New Roman"/>
          <w:bCs/>
          <w:sz w:val="22"/>
          <w:szCs w:val="22"/>
        </w:rPr>
        <w:t xml:space="preserve"> con perspectiva estable </w:t>
      </w:r>
      <w:r w:rsidR="00510CF2" w:rsidRPr="005D12C6">
        <w:rPr>
          <w:rFonts w:eastAsia="Calibri" w:cs="Times New Roman"/>
          <w:bCs/>
          <w:sz w:val="22"/>
          <w:szCs w:val="22"/>
        </w:rPr>
        <w:t xml:space="preserve">como resultado de ajuste positivo de nuestras estimaciones del Fondo General de Participaciones del Estado ya que, al cierre de 2024, HR Ratings estima que dicho fondo sea 14.3% superior al monto observado al cierre de 2023. Lo anterior, sería 6.9% superior a lo estimado en la asignación de las calificaciones. Este incremento </w:t>
      </w:r>
      <w:r w:rsidR="00510CF2" w:rsidRPr="005D12C6">
        <w:rPr>
          <w:rFonts w:eastAsia="Calibri" w:cs="Times New Roman"/>
          <w:bCs/>
          <w:sz w:val="22"/>
          <w:szCs w:val="22"/>
        </w:rPr>
        <w:lastRenderedPageBreak/>
        <w:t>se debe al movimiento positivo observado en los coeficientes de distribución del Estado de Michoacán.</w:t>
      </w:r>
      <w:r w:rsidR="00F43C1F" w:rsidRPr="005D12C6">
        <w:rPr>
          <w:rFonts w:eastAsia="Calibri" w:cs="Times New Roman"/>
          <w:bCs/>
          <w:sz w:val="22"/>
          <w:szCs w:val="22"/>
        </w:rPr>
        <w:t xml:space="preserve"> Respecto a la tasa de interés (TIIE), al cierre del 2023, el nivel observado fue de 11.5% y se estima que el nivel de esta tasa al cierre de 2024 sea de 10.5%.</w:t>
      </w:r>
    </w:p>
    <w:p w14:paraId="214A301B" w14:textId="77777777" w:rsidR="00F06FFE" w:rsidRPr="005D12C6" w:rsidRDefault="00F06FFE" w:rsidP="00AB5EE6">
      <w:pPr>
        <w:spacing w:before="0" w:after="0"/>
        <w:rPr>
          <w:rFonts w:eastAsia="Calibri" w:cs="Times New Roman"/>
          <w:bCs/>
          <w:sz w:val="22"/>
          <w:szCs w:val="22"/>
        </w:rPr>
      </w:pPr>
    </w:p>
    <w:p w14:paraId="006FCC49" w14:textId="265D8BF3" w:rsidR="00522AE3" w:rsidRPr="005D12C6" w:rsidRDefault="00522AE3" w:rsidP="00522AE3">
      <w:pPr>
        <w:spacing w:before="0" w:after="0"/>
        <w:rPr>
          <w:rFonts w:eastAsia="Calibri" w:cs="Times New Roman"/>
          <w:b/>
          <w:sz w:val="22"/>
          <w:szCs w:val="22"/>
        </w:rPr>
      </w:pPr>
      <w:r w:rsidRPr="005D12C6">
        <w:rPr>
          <w:rFonts w:eastAsia="Calibri" w:cs="Times New Roman"/>
          <w:b/>
          <w:sz w:val="22"/>
          <w:szCs w:val="22"/>
        </w:rPr>
        <w:t>12. Procesos de Mejora</w:t>
      </w:r>
    </w:p>
    <w:p w14:paraId="0631C9F6" w14:textId="77777777" w:rsidR="00086873" w:rsidRPr="005D12C6" w:rsidRDefault="00086873" w:rsidP="00086873">
      <w:pPr>
        <w:spacing w:before="0" w:after="0"/>
        <w:rPr>
          <w:rFonts w:eastAsia="Calibri" w:cs="Times New Roman"/>
          <w:b/>
          <w:sz w:val="22"/>
          <w:szCs w:val="22"/>
        </w:rPr>
      </w:pPr>
      <w:r w:rsidRPr="005D12C6">
        <w:rPr>
          <w:rFonts w:eastAsia="Calibri" w:cs="Times New Roman"/>
          <w:b/>
          <w:sz w:val="22"/>
          <w:szCs w:val="22"/>
        </w:rPr>
        <w:t>a) Principales políticas de control interno</w:t>
      </w:r>
    </w:p>
    <w:p w14:paraId="3F1D9937" w14:textId="77777777" w:rsidR="00086873" w:rsidRPr="005D12C6" w:rsidRDefault="00086873" w:rsidP="00086873">
      <w:pPr>
        <w:spacing w:before="0" w:after="0"/>
        <w:rPr>
          <w:rFonts w:eastAsia="Calibri" w:cs="Times New Roman"/>
          <w:bCs/>
          <w:sz w:val="22"/>
          <w:szCs w:val="22"/>
        </w:rPr>
      </w:pPr>
    </w:p>
    <w:p w14:paraId="6D8BAB52"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2238488D" w14:textId="77777777" w:rsidR="00086873" w:rsidRPr="005D12C6" w:rsidRDefault="00086873" w:rsidP="00086873">
      <w:pPr>
        <w:spacing w:before="0" w:after="0"/>
        <w:rPr>
          <w:rFonts w:eastAsia="Calibri" w:cs="Times New Roman"/>
          <w:bCs/>
          <w:sz w:val="22"/>
          <w:szCs w:val="22"/>
        </w:rPr>
      </w:pPr>
    </w:p>
    <w:p w14:paraId="64440217"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20112764" w14:textId="77777777" w:rsidR="00086873" w:rsidRPr="005D12C6" w:rsidRDefault="00086873" w:rsidP="00086873">
      <w:pPr>
        <w:spacing w:before="0" w:after="0"/>
        <w:rPr>
          <w:rFonts w:eastAsia="Calibri" w:cs="Times New Roman"/>
          <w:bCs/>
          <w:sz w:val="22"/>
          <w:szCs w:val="22"/>
        </w:rPr>
      </w:pPr>
    </w:p>
    <w:p w14:paraId="4D20E48B"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EC91B3" w14:textId="77777777" w:rsidR="00086873" w:rsidRPr="005D12C6" w:rsidRDefault="00086873" w:rsidP="00086873">
      <w:pPr>
        <w:spacing w:before="0" w:after="0"/>
        <w:rPr>
          <w:rFonts w:eastAsia="Calibri" w:cs="Times New Roman"/>
          <w:bCs/>
          <w:sz w:val="22"/>
          <w:szCs w:val="22"/>
        </w:rPr>
      </w:pPr>
    </w:p>
    <w:p w14:paraId="6B9E3466"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4D2BFD" w14:textId="77777777" w:rsidR="00086873" w:rsidRPr="005D12C6" w:rsidRDefault="00086873" w:rsidP="00086873">
      <w:pPr>
        <w:spacing w:before="0" w:after="0"/>
        <w:rPr>
          <w:rFonts w:eastAsia="Calibri" w:cs="Times New Roman"/>
          <w:bCs/>
          <w:sz w:val="22"/>
          <w:szCs w:val="22"/>
        </w:rPr>
      </w:pPr>
    </w:p>
    <w:p w14:paraId="3E9D47ED"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 xml:space="preserve">De esta manera se identificaron riesgos tanto humanos como financieros, presupuestales, técnicos, administrativos, de tecnologías de la información, </w:t>
      </w:r>
      <w:r w:rsidRPr="005D12C6">
        <w:rPr>
          <w:rFonts w:eastAsia="Calibri" w:cs="Times New Roman"/>
          <w:bCs/>
          <w:sz w:val="22"/>
          <w:szCs w:val="22"/>
        </w:rPr>
        <w:lastRenderedPageBreak/>
        <w:t>normativos y del entorno, los cuales se clasificaron por su probabilidad de ocurrencia de la siguiente manera:</w:t>
      </w:r>
    </w:p>
    <w:p w14:paraId="32DD1FB9" w14:textId="77777777" w:rsidR="00086873" w:rsidRPr="005D12C6" w:rsidRDefault="00086873" w:rsidP="00086873">
      <w:pPr>
        <w:spacing w:before="0" w:after="0"/>
        <w:rPr>
          <w:rFonts w:eastAsia="Calibri" w:cs="Times New Roman"/>
          <w:bCs/>
          <w:sz w:val="22"/>
          <w:szCs w:val="22"/>
        </w:rPr>
      </w:pPr>
    </w:p>
    <w:p w14:paraId="6816C0C4" w14:textId="77777777" w:rsidR="00086873" w:rsidRPr="005D12C6" w:rsidRDefault="00086873" w:rsidP="00086873">
      <w:pPr>
        <w:spacing w:before="0" w:after="0"/>
        <w:jc w:val="center"/>
        <w:rPr>
          <w:rFonts w:eastAsia="Calibri" w:cs="Times New Roman"/>
          <w:bCs/>
          <w:sz w:val="22"/>
          <w:szCs w:val="22"/>
        </w:rPr>
      </w:pPr>
      <w:r w:rsidRPr="005D12C6">
        <w:rPr>
          <w:rFonts w:eastAsia="Calibri" w:cs="Times New Roman"/>
          <w:bCs/>
          <w:noProof/>
          <w:sz w:val="22"/>
          <w:szCs w:val="22"/>
          <w:lang w:val="es-MX" w:eastAsia="es-MX"/>
        </w:rPr>
        <w:drawing>
          <wp:inline distT="0" distB="0" distL="0" distR="0" wp14:anchorId="67D3093C" wp14:editId="0D83EB0C">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BEE00C2"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Una vez clasificados los riesgos, se define la estrategia de atención como sigue:</w:t>
      </w:r>
    </w:p>
    <w:p w14:paraId="049FFF5A" w14:textId="77777777" w:rsidR="00086873" w:rsidRPr="005D12C6" w:rsidRDefault="00086873" w:rsidP="00086873">
      <w:pPr>
        <w:spacing w:before="0" w:after="0"/>
        <w:rPr>
          <w:rFonts w:eastAsia="Calibri" w:cs="Times New Roman"/>
          <w:bCs/>
          <w:sz w:val="22"/>
          <w:szCs w:val="22"/>
        </w:rPr>
      </w:pPr>
    </w:p>
    <w:p w14:paraId="0913D041"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828F5B3" w14:textId="77777777" w:rsidR="00086873" w:rsidRPr="005D12C6" w:rsidRDefault="00086873" w:rsidP="00086873">
      <w:pPr>
        <w:spacing w:before="0" w:after="0"/>
        <w:rPr>
          <w:rFonts w:eastAsia="Calibri" w:cs="Times New Roman"/>
          <w:bCs/>
          <w:sz w:val="22"/>
          <w:szCs w:val="22"/>
        </w:rPr>
      </w:pPr>
    </w:p>
    <w:p w14:paraId="3666B4B0"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1D2E838E" w14:textId="77777777" w:rsidR="00086873" w:rsidRPr="005D12C6" w:rsidRDefault="00086873" w:rsidP="00086873">
      <w:pPr>
        <w:spacing w:before="0" w:after="0"/>
        <w:rPr>
          <w:rFonts w:eastAsia="Calibri" w:cs="Times New Roman"/>
          <w:bCs/>
          <w:sz w:val="22"/>
          <w:szCs w:val="22"/>
        </w:rPr>
      </w:pPr>
    </w:p>
    <w:p w14:paraId="1C799A3B" w14:textId="3D7BBFAC"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 xml:space="preserve">3. Transferir el riesgo. Consiste en trasladar el riesgo a un externo a través de la contratación de servicios </w:t>
      </w:r>
      <w:proofErr w:type="spellStart"/>
      <w:r w:rsidRPr="005D12C6">
        <w:rPr>
          <w:rFonts w:eastAsia="Calibri" w:cs="Times New Roman"/>
          <w:bCs/>
          <w:sz w:val="22"/>
          <w:szCs w:val="22"/>
        </w:rPr>
        <w:t>tercerizados</w:t>
      </w:r>
      <w:proofErr w:type="spellEnd"/>
      <w:r w:rsidRPr="005D12C6">
        <w:rPr>
          <w:rFonts w:eastAsia="Calibri" w:cs="Times New Roman"/>
          <w:bCs/>
          <w:sz w:val="22"/>
          <w:szCs w:val="22"/>
        </w:rPr>
        <w:t>, el cual deberá́</w:t>
      </w:r>
      <w:r w:rsidR="0010219F" w:rsidRPr="005D12C6">
        <w:rPr>
          <w:rFonts w:eastAsia="Calibri" w:cs="Times New Roman"/>
          <w:bCs/>
          <w:sz w:val="22"/>
          <w:szCs w:val="22"/>
        </w:rPr>
        <w:t xml:space="preserve"> </w:t>
      </w:r>
      <w:r w:rsidRPr="005D12C6">
        <w:rPr>
          <w:rFonts w:eastAsia="Calibri" w:cs="Times New Roman"/>
          <w:bCs/>
          <w:sz w:val="22"/>
          <w:szCs w:val="22"/>
        </w:rPr>
        <w:t xml:space="preserve">tener la experiencia y especialización necesaria para asumir el riesgo, así́ como sus impactos o pérdidas derivadas de su materialización </w:t>
      </w:r>
    </w:p>
    <w:p w14:paraId="001E9364" w14:textId="77777777" w:rsidR="00086873" w:rsidRPr="005D12C6" w:rsidRDefault="00086873" w:rsidP="00086873">
      <w:pPr>
        <w:spacing w:before="0" w:after="0"/>
        <w:rPr>
          <w:rFonts w:eastAsia="Calibri" w:cs="Times New Roman"/>
          <w:bCs/>
          <w:sz w:val="22"/>
          <w:szCs w:val="22"/>
        </w:rPr>
      </w:pPr>
    </w:p>
    <w:p w14:paraId="041C6C7A" w14:textId="77777777" w:rsidR="00075FCD" w:rsidRPr="005D12C6" w:rsidRDefault="00086873" w:rsidP="00086873">
      <w:pPr>
        <w:spacing w:before="0" w:after="0"/>
        <w:rPr>
          <w:rFonts w:eastAsia="Calibri" w:cs="Times New Roman"/>
          <w:bCs/>
          <w:sz w:val="22"/>
          <w:szCs w:val="22"/>
        </w:rPr>
      </w:pPr>
      <w:r w:rsidRPr="005D12C6">
        <w:rPr>
          <w:rFonts w:eastAsia="Calibri" w:cs="Times New Roman"/>
          <w:bCs/>
          <w:sz w:val="22"/>
          <w:szCs w:val="22"/>
        </w:rPr>
        <w:t xml:space="preserve">4. Compartir el riesgo.- Se refiere a distribuir parcialmente el riesgo y las </w:t>
      </w:r>
    </w:p>
    <w:p w14:paraId="30092185" w14:textId="517A242A" w:rsidR="00086873" w:rsidRPr="005D12C6" w:rsidRDefault="00086873" w:rsidP="00086873">
      <w:pPr>
        <w:spacing w:before="0" w:after="0"/>
        <w:rPr>
          <w:rFonts w:eastAsia="Calibri" w:cs="Times New Roman"/>
          <w:bCs/>
          <w:sz w:val="22"/>
          <w:szCs w:val="22"/>
        </w:rPr>
      </w:pPr>
      <w:proofErr w:type="gramStart"/>
      <w:r w:rsidRPr="005D12C6">
        <w:rPr>
          <w:rFonts w:eastAsia="Calibri" w:cs="Times New Roman"/>
          <w:bCs/>
          <w:sz w:val="22"/>
          <w:szCs w:val="22"/>
        </w:rPr>
        <w:t>posibles</w:t>
      </w:r>
      <w:proofErr w:type="gramEnd"/>
      <w:r w:rsidRPr="005D12C6">
        <w:rPr>
          <w:rFonts w:eastAsia="Calibri" w:cs="Times New Roman"/>
          <w:bCs/>
          <w:sz w:val="22"/>
          <w:szCs w:val="22"/>
        </w:rPr>
        <w:t xml:space="preserve"> consecuencias, a efecto de segmentarlo y canalizarlo a diferentes unidades administrativas de la institución, las cuales se responsabilizaran de la parte del riesgo que les corresponda en su ámbito de competencia. </w:t>
      </w:r>
    </w:p>
    <w:p w14:paraId="6957BC03" w14:textId="77777777" w:rsidR="00086873" w:rsidRPr="005D12C6" w:rsidRDefault="00086873" w:rsidP="00086873">
      <w:pPr>
        <w:spacing w:before="0" w:after="0"/>
        <w:rPr>
          <w:rFonts w:eastAsia="Calibri" w:cs="Times New Roman"/>
          <w:bCs/>
          <w:sz w:val="22"/>
          <w:szCs w:val="22"/>
        </w:rPr>
      </w:pPr>
    </w:p>
    <w:p w14:paraId="65D4BF5D"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lastRenderedPageBreak/>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2DBE51CA" w14:textId="77777777" w:rsidR="00086873" w:rsidRPr="005D12C6" w:rsidRDefault="00086873" w:rsidP="00086873">
      <w:pPr>
        <w:spacing w:before="0" w:after="0"/>
        <w:rPr>
          <w:rFonts w:eastAsia="Calibri" w:cs="Times New Roman"/>
          <w:bCs/>
          <w:sz w:val="22"/>
          <w:szCs w:val="22"/>
        </w:rPr>
      </w:pPr>
    </w:p>
    <w:p w14:paraId="795487A6"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 xml:space="preserve">6. Servicios </w:t>
      </w:r>
      <w:proofErr w:type="spellStart"/>
      <w:r w:rsidRPr="005D12C6">
        <w:rPr>
          <w:rFonts w:eastAsia="Calibri" w:cs="Times New Roman"/>
          <w:bCs/>
          <w:sz w:val="22"/>
          <w:szCs w:val="22"/>
        </w:rPr>
        <w:t>Tercerizados</w:t>
      </w:r>
      <w:proofErr w:type="spellEnd"/>
      <w:r w:rsidRPr="005D12C6">
        <w:rPr>
          <w:rFonts w:eastAsia="Calibri" w:cs="Times New Roman"/>
          <w:bCs/>
          <w:sz w:val="22"/>
          <w:szCs w:val="22"/>
        </w:rPr>
        <w:t xml:space="preserve">. La Administración conserva la responsabilidad sobre el desempeño de las actividades realizadas por los servicios </w:t>
      </w:r>
      <w:proofErr w:type="spellStart"/>
      <w:r w:rsidRPr="005D12C6">
        <w:rPr>
          <w:rFonts w:eastAsia="Calibri" w:cs="Times New Roman"/>
          <w:bCs/>
          <w:sz w:val="22"/>
          <w:szCs w:val="22"/>
        </w:rPr>
        <w:t>tercerizados</w:t>
      </w:r>
      <w:proofErr w:type="spellEnd"/>
      <w:r w:rsidRPr="005D12C6">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14:paraId="3AE4E045" w14:textId="77777777" w:rsidR="00086873" w:rsidRPr="005D12C6" w:rsidRDefault="00086873" w:rsidP="00086873">
      <w:pPr>
        <w:spacing w:before="0" w:after="0"/>
        <w:rPr>
          <w:rFonts w:eastAsia="Calibri" w:cs="Times New Roman"/>
          <w:bCs/>
          <w:sz w:val="22"/>
          <w:szCs w:val="22"/>
        </w:rPr>
      </w:pPr>
    </w:p>
    <w:p w14:paraId="797C7F5E" w14:textId="77777777" w:rsidR="00086873" w:rsidRPr="005D12C6" w:rsidRDefault="00086873" w:rsidP="00086873">
      <w:pPr>
        <w:spacing w:before="0" w:after="0"/>
        <w:rPr>
          <w:rFonts w:eastAsia="Calibri" w:cs="Times New Roman"/>
          <w:bCs/>
          <w:sz w:val="22"/>
          <w:szCs w:val="22"/>
        </w:rPr>
      </w:pPr>
      <w:r w:rsidRPr="005D12C6">
        <w:rPr>
          <w:rFonts w:eastAsia="Calibri" w:cs="Times New Roman"/>
          <w:bCs/>
          <w:sz w:val="22"/>
          <w:szCs w:val="22"/>
        </w:rPr>
        <w:t>De esta manera se pretende avanzar en la mejora de la administración pública en cumplimiento de la normativa aplicable.</w:t>
      </w:r>
    </w:p>
    <w:p w14:paraId="382F4437" w14:textId="77777777" w:rsidR="00086873" w:rsidRPr="005D12C6" w:rsidRDefault="00086873" w:rsidP="00086873">
      <w:pPr>
        <w:spacing w:before="0" w:after="0"/>
        <w:rPr>
          <w:rFonts w:eastAsia="Calibri" w:cs="Times New Roman"/>
          <w:bCs/>
          <w:sz w:val="22"/>
          <w:szCs w:val="22"/>
        </w:rPr>
      </w:pPr>
    </w:p>
    <w:p w14:paraId="0858D09E" w14:textId="77777777" w:rsidR="00086873" w:rsidRPr="005D12C6" w:rsidRDefault="00086873" w:rsidP="00086873">
      <w:pPr>
        <w:spacing w:before="0" w:after="0"/>
        <w:rPr>
          <w:rFonts w:eastAsia="Calibri" w:cs="Times New Roman"/>
          <w:b/>
          <w:sz w:val="22"/>
          <w:szCs w:val="22"/>
        </w:rPr>
      </w:pPr>
      <w:r w:rsidRPr="005D12C6">
        <w:rPr>
          <w:rFonts w:eastAsia="Calibri" w:cs="Times New Roman"/>
          <w:b/>
          <w:sz w:val="22"/>
          <w:szCs w:val="22"/>
        </w:rPr>
        <w:t>b) Medidas de Desempeño Financiero, Metas y Alcance</w:t>
      </w:r>
    </w:p>
    <w:p w14:paraId="524800AF" w14:textId="77777777" w:rsidR="00086873" w:rsidRPr="005D12C6" w:rsidRDefault="00086873" w:rsidP="00086873">
      <w:pPr>
        <w:spacing w:before="0" w:after="0"/>
        <w:rPr>
          <w:rFonts w:eastAsia="Calibri" w:cs="Times New Roman"/>
          <w:sz w:val="22"/>
          <w:szCs w:val="22"/>
        </w:rPr>
      </w:pPr>
    </w:p>
    <w:p w14:paraId="2F4F17C3"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84F53AF" w14:textId="77777777" w:rsidR="00086873" w:rsidRPr="005D12C6" w:rsidRDefault="00086873" w:rsidP="00086873">
      <w:pPr>
        <w:spacing w:before="0" w:after="0"/>
        <w:rPr>
          <w:rFonts w:eastAsia="Calibri" w:cs="Times New Roman"/>
          <w:sz w:val="22"/>
          <w:szCs w:val="22"/>
        </w:rPr>
      </w:pPr>
    </w:p>
    <w:p w14:paraId="664A0AC2"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418B986E" w14:textId="77777777" w:rsidR="00086873" w:rsidRPr="005D12C6" w:rsidRDefault="00086873" w:rsidP="00086873">
      <w:pPr>
        <w:spacing w:before="0" w:after="0"/>
        <w:rPr>
          <w:rFonts w:eastAsia="Calibri" w:cs="Times New Roman"/>
          <w:sz w:val="22"/>
          <w:szCs w:val="22"/>
        </w:rPr>
      </w:pPr>
    </w:p>
    <w:p w14:paraId="236399A4"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Se implementa el Presupuesto basado en Resultados (</w:t>
      </w:r>
      <w:proofErr w:type="spellStart"/>
      <w:r w:rsidRPr="005D12C6">
        <w:rPr>
          <w:rFonts w:eastAsia="Calibri" w:cs="Times New Roman"/>
          <w:sz w:val="22"/>
          <w:szCs w:val="22"/>
        </w:rPr>
        <w:t>PbR</w:t>
      </w:r>
      <w:proofErr w:type="spellEnd"/>
      <w:r w:rsidRPr="005D12C6">
        <w:rPr>
          <w:rFonts w:eastAsia="Calibri" w:cs="Times New Roman"/>
          <w:sz w:val="22"/>
          <w:szCs w:val="22"/>
        </w:rPr>
        <w:t>) de una manera gradual y sostenible, con la finalidad de evaluar las políticas públicas, los programas presupuestarios y el desempeño de las dependencias.</w:t>
      </w:r>
    </w:p>
    <w:p w14:paraId="3F09EEB6" w14:textId="77777777" w:rsidR="00086873" w:rsidRPr="005D12C6" w:rsidRDefault="00086873" w:rsidP="00086873">
      <w:pPr>
        <w:spacing w:before="0" w:after="0"/>
        <w:rPr>
          <w:rFonts w:eastAsia="Calibri" w:cs="Times New Roman"/>
          <w:sz w:val="22"/>
          <w:szCs w:val="22"/>
        </w:rPr>
      </w:pPr>
    </w:p>
    <w:p w14:paraId="7B17968D"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 xml:space="preserve">El Presupuesto estatal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14:paraId="52F7A8A4" w14:textId="77777777" w:rsidR="00086873" w:rsidRPr="005D12C6" w:rsidRDefault="00086873" w:rsidP="00086873">
      <w:pPr>
        <w:spacing w:before="0" w:after="0"/>
        <w:rPr>
          <w:rFonts w:eastAsia="Calibri" w:cs="Times New Roman"/>
          <w:sz w:val="22"/>
          <w:szCs w:val="22"/>
        </w:rPr>
      </w:pPr>
    </w:p>
    <w:p w14:paraId="020D7A84"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A21D2BF" w14:textId="77777777" w:rsidR="00086873" w:rsidRPr="005D12C6" w:rsidRDefault="00086873" w:rsidP="00086873">
      <w:pPr>
        <w:spacing w:before="0" w:after="0"/>
        <w:rPr>
          <w:rFonts w:eastAsia="Calibri" w:cs="Times New Roman"/>
          <w:sz w:val="22"/>
          <w:szCs w:val="22"/>
        </w:rPr>
      </w:pPr>
    </w:p>
    <w:p w14:paraId="5E9EDD74"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0FA2837C" w14:textId="77777777" w:rsidR="00086873" w:rsidRPr="005D12C6" w:rsidRDefault="00086873" w:rsidP="00086873">
      <w:pPr>
        <w:spacing w:before="0" w:after="0"/>
        <w:rPr>
          <w:rFonts w:eastAsia="Calibri" w:cs="Times New Roman"/>
          <w:sz w:val="22"/>
          <w:szCs w:val="22"/>
        </w:rPr>
      </w:pPr>
    </w:p>
    <w:p w14:paraId="689AE571"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1960FF23" w14:textId="77777777" w:rsidR="00086873" w:rsidRPr="005D12C6" w:rsidRDefault="00086873" w:rsidP="00086873">
      <w:pPr>
        <w:spacing w:before="0" w:after="0"/>
        <w:rPr>
          <w:rFonts w:eastAsia="Calibri" w:cs="Times New Roman"/>
          <w:sz w:val="22"/>
          <w:szCs w:val="22"/>
        </w:rPr>
      </w:pPr>
    </w:p>
    <w:p w14:paraId="3928A873" w14:textId="77777777" w:rsidR="00086873" w:rsidRPr="005D12C6" w:rsidRDefault="00086873" w:rsidP="00086873">
      <w:pPr>
        <w:spacing w:before="0" w:after="0"/>
        <w:rPr>
          <w:rFonts w:eastAsia="Calibri" w:cs="Times New Roman"/>
          <w:sz w:val="22"/>
          <w:szCs w:val="22"/>
        </w:rPr>
      </w:pPr>
      <w:r w:rsidRPr="005D12C6">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14:paraId="2FFC0D91" w14:textId="77777777" w:rsidR="006131F6" w:rsidRPr="005D12C6" w:rsidRDefault="006131F6" w:rsidP="00AB5EE6">
      <w:pPr>
        <w:spacing w:before="0" w:after="0"/>
        <w:rPr>
          <w:rFonts w:eastAsia="Calibri" w:cs="Times New Roman"/>
          <w:b/>
          <w:sz w:val="22"/>
          <w:szCs w:val="22"/>
        </w:rPr>
      </w:pPr>
    </w:p>
    <w:p w14:paraId="30EFB23F" w14:textId="626D8222"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1</w:t>
      </w:r>
      <w:r w:rsidR="00C85D46" w:rsidRPr="005D12C6">
        <w:rPr>
          <w:rFonts w:eastAsia="Calibri" w:cs="Times New Roman"/>
          <w:b/>
          <w:sz w:val="22"/>
          <w:szCs w:val="22"/>
        </w:rPr>
        <w:t>3</w:t>
      </w:r>
      <w:r w:rsidRPr="005D12C6">
        <w:rPr>
          <w:rFonts w:eastAsia="Calibri" w:cs="Times New Roman"/>
          <w:b/>
          <w:sz w:val="22"/>
          <w:szCs w:val="22"/>
        </w:rPr>
        <w:t>. Información por segmentos</w:t>
      </w:r>
    </w:p>
    <w:p w14:paraId="7695E30A" w14:textId="77777777" w:rsidR="00BD4F6A" w:rsidRPr="005D12C6" w:rsidRDefault="00BD4F6A" w:rsidP="00AB5EE6">
      <w:pPr>
        <w:spacing w:before="0" w:after="0"/>
        <w:rPr>
          <w:rFonts w:eastAsia="Calibri" w:cs="Times New Roman"/>
          <w:b/>
          <w:sz w:val="22"/>
          <w:szCs w:val="22"/>
        </w:rPr>
      </w:pPr>
      <w:r w:rsidRPr="005D12C6">
        <w:rPr>
          <w:rFonts w:eastAsia="Calibri" w:cs="Times New Roman"/>
          <w:bCs/>
          <w:sz w:val="22"/>
          <w:szCs w:val="22"/>
        </w:rPr>
        <w:t>Para el periodo que se reporta, no existe información referente a segmentos por revelar.</w:t>
      </w:r>
    </w:p>
    <w:p w14:paraId="6F33F3C3" w14:textId="77777777" w:rsidR="00BD4F6A" w:rsidRPr="005D12C6" w:rsidRDefault="00BD4F6A" w:rsidP="00AB5EE6">
      <w:pPr>
        <w:spacing w:before="0" w:after="0"/>
        <w:rPr>
          <w:rFonts w:eastAsia="Calibri" w:cs="Times New Roman"/>
          <w:b/>
          <w:sz w:val="22"/>
          <w:szCs w:val="22"/>
        </w:rPr>
      </w:pPr>
    </w:p>
    <w:p w14:paraId="371B66DE" w14:textId="39B3A2E3"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1</w:t>
      </w:r>
      <w:r w:rsidR="00C85D46" w:rsidRPr="005D12C6">
        <w:rPr>
          <w:rFonts w:eastAsia="Calibri" w:cs="Times New Roman"/>
          <w:b/>
          <w:sz w:val="22"/>
          <w:szCs w:val="22"/>
        </w:rPr>
        <w:t>4</w:t>
      </w:r>
      <w:r w:rsidRPr="005D12C6">
        <w:rPr>
          <w:rFonts w:eastAsia="Calibri" w:cs="Times New Roman"/>
          <w:b/>
          <w:sz w:val="22"/>
          <w:szCs w:val="22"/>
        </w:rPr>
        <w:t>. Eventos Posteriores al Cierre</w:t>
      </w:r>
    </w:p>
    <w:p w14:paraId="31462333" w14:textId="77777777" w:rsidR="00BD4F6A" w:rsidRPr="005D12C6" w:rsidRDefault="00BD4F6A" w:rsidP="00AB5EE6">
      <w:pPr>
        <w:spacing w:before="0" w:after="0"/>
        <w:rPr>
          <w:rFonts w:eastAsia="Calibri" w:cs="Times New Roman"/>
          <w:bCs/>
          <w:sz w:val="22"/>
          <w:szCs w:val="22"/>
        </w:rPr>
      </w:pPr>
      <w:r w:rsidRPr="005D12C6">
        <w:rPr>
          <w:rFonts w:eastAsia="Calibri" w:cs="Times New Roman"/>
          <w:bCs/>
          <w:sz w:val="22"/>
          <w:szCs w:val="22"/>
        </w:rPr>
        <w:lastRenderedPageBreak/>
        <w:t>El Gobierno del Estado de Michoacán no reconoce eventos posteriores al cierre que de manera significativa puedan afectar de manera económica, las cifras que se presentan en el presente informe.</w:t>
      </w:r>
    </w:p>
    <w:p w14:paraId="757C8B0F" w14:textId="77777777" w:rsidR="0077166D" w:rsidRPr="005D12C6" w:rsidRDefault="0077166D" w:rsidP="00AB5EE6">
      <w:pPr>
        <w:spacing w:before="0" w:after="0"/>
        <w:rPr>
          <w:rFonts w:eastAsia="Calibri" w:cs="Times New Roman"/>
          <w:b/>
          <w:sz w:val="22"/>
          <w:szCs w:val="22"/>
        </w:rPr>
      </w:pPr>
    </w:p>
    <w:p w14:paraId="0CED7994" w14:textId="45EFAF37" w:rsidR="00BD4F6A" w:rsidRPr="005D12C6" w:rsidRDefault="00BD4F6A" w:rsidP="00AB5EE6">
      <w:pPr>
        <w:spacing w:before="0" w:after="0"/>
        <w:rPr>
          <w:rFonts w:eastAsia="Calibri" w:cs="Times New Roman"/>
          <w:b/>
          <w:sz w:val="22"/>
          <w:szCs w:val="22"/>
        </w:rPr>
      </w:pPr>
      <w:r w:rsidRPr="005D12C6">
        <w:rPr>
          <w:rFonts w:eastAsia="Calibri" w:cs="Times New Roman"/>
          <w:b/>
          <w:sz w:val="22"/>
          <w:szCs w:val="22"/>
        </w:rPr>
        <w:t>1</w:t>
      </w:r>
      <w:r w:rsidR="00C85D46" w:rsidRPr="005D12C6">
        <w:rPr>
          <w:rFonts w:eastAsia="Calibri" w:cs="Times New Roman"/>
          <w:b/>
          <w:sz w:val="22"/>
          <w:szCs w:val="22"/>
        </w:rPr>
        <w:t>5</w:t>
      </w:r>
      <w:r w:rsidRPr="005D12C6">
        <w:rPr>
          <w:rFonts w:eastAsia="Calibri" w:cs="Times New Roman"/>
          <w:b/>
          <w:sz w:val="22"/>
          <w:szCs w:val="22"/>
        </w:rPr>
        <w:t>.</w:t>
      </w:r>
      <w:r w:rsidRPr="005D12C6">
        <w:rPr>
          <w:rFonts w:eastAsia="Calibri" w:cs="Times New Roman"/>
          <w:b/>
          <w:sz w:val="22"/>
          <w:szCs w:val="22"/>
        </w:rPr>
        <w:tab/>
        <w:t>Partes Relacionadas</w:t>
      </w:r>
    </w:p>
    <w:p w14:paraId="66BC99FE" w14:textId="77777777" w:rsidR="00BD4F6A" w:rsidRPr="005D12C6" w:rsidRDefault="00BD4F6A" w:rsidP="00AB5EE6">
      <w:pPr>
        <w:spacing w:before="0" w:after="0"/>
        <w:rPr>
          <w:rFonts w:eastAsia="Calibri" w:cs="Times New Roman"/>
          <w:color w:val="000000"/>
          <w:sz w:val="22"/>
          <w:szCs w:val="22"/>
        </w:rPr>
      </w:pPr>
      <w:r w:rsidRPr="005D12C6">
        <w:rPr>
          <w:rFonts w:eastAsia="Calibri" w:cs="Times New Roman"/>
          <w:color w:val="000000"/>
          <w:sz w:val="22"/>
          <w:szCs w:val="22"/>
        </w:rPr>
        <w:t>No existen partes relacionadas que pudieran ejercer influencia significativa en la toma de decisiones financieras y operativas.</w:t>
      </w:r>
    </w:p>
    <w:p w14:paraId="6401E5E5" w14:textId="77777777" w:rsidR="00BC4F29" w:rsidRPr="005D12C6" w:rsidRDefault="00BC4F29" w:rsidP="00AB5EE6">
      <w:pPr>
        <w:spacing w:before="0" w:after="0"/>
        <w:rPr>
          <w:rFonts w:eastAsia="Calibri" w:cs="Times New Roman"/>
          <w:color w:val="000000"/>
          <w:sz w:val="22"/>
          <w:szCs w:val="22"/>
        </w:rPr>
      </w:pPr>
    </w:p>
    <w:p w14:paraId="1AB6DD4D" w14:textId="2F8031C4" w:rsidR="00BD4F6A" w:rsidRPr="005D12C6" w:rsidRDefault="00BD4F6A" w:rsidP="00AB5EE6">
      <w:pPr>
        <w:spacing w:before="0" w:after="0"/>
        <w:rPr>
          <w:rFonts w:eastAsia="Calibri" w:cs="Times New Roman"/>
          <w:color w:val="000000"/>
          <w:sz w:val="22"/>
          <w:szCs w:val="22"/>
        </w:rPr>
      </w:pPr>
      <w:r w:rsidRPr="005D12C6">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14:paraId="034F2676" w14:textId="77777777" w:rsidR="007E1CED" w:rsidRPr="005D12C6" w:rsidRDefault="007E1CED" w:rsidP="00AB5EE6">
      <w:pPr>
        <w:spacing w:before="0" w:after="0"/>
        <w:rPr>
          <w:rFonts w:eastAsia="Calibri" w:cs="Times New Roman"/>
          <w:b/>
          <w:bCs/>
          <w:color w:val="000000"/>
          <w:sz w:val="22"/>
          <w:szCs w:val="22"/>
        </w:rPr>
      </w:pPr>
    </w:p>
    <w:p w14:paraId="6E2EC7FA" w14:textId="7172147E" w:rsidR="00BD4F6A" w:rsidRPr="005D12C6" w:rsidRDefault="00BD4F6A" w:rsidP="00AB5EE6">
      <w:pPr>
        <w:spacing w:before="0" w:after="0"/>
        <w:rPr>
          <w:rFonts w:eastAsia="Calibri" w:cs="Times New Roman"/>
          <w:b/>
          <w:bCs/>
          <w:color w:val="000000"/>
          <w:sz w:val="22"/>
          <w:szCs w:val="22"/>
        </w:rPr>
      </w:pPr>
      <w:r w:rsidRPr="005D12C6">
        <w:rPr>
          <w:rFonts w:eastAsia="Calibri" w:cs="Times New Roman"/>
          <w:b/>
          <w:bCs/>
          <w:color w:val="000000"/>
          <w:sz w:val="22"/>
          <w:szCs w:val="22"/>
        </w:rPr>
        <w:t>1</w:t>
      </w:r>
      <w:r w:rsidR="00C85D46" w:rsidRPr="005D12C6">
        <w:rPr>
          <w:rFonts w:eastAsia="Calibri" w:cs="Times New Roman"/>
          <w:b/>
          <w:bCs/>
          <w:color w:val="000000"/>
          <w:sz w:val="22"/>
          <w:szCs w:val="22"/>
        </w:rPr>
        <w:t>6</w:t>
      </w:r>
      <w:r w:rsidRPr="005D12C6">
        <w:rPr>
          <w:rFonts w:eastAsia="Calibri" w:cs="Times New Roman"/>
          <w:b/>
          <w:bCs/>
          <w:color w:val="000000"/>
          <w:sz w:val="22"/>
          <w:szCs w:val="22"/>
        </w:rPr>
        <w:t>. Responsabilidad sobre la presentación razonable de la información contable</w:t>
      </w:r>
    </w:p>
    <w:p w14:paraId="7A4B649E" w14:textId="77777777" w:rsidR="00BD4F6A" w:rsidRPr="005D12C6" w:rsidRDefault="00BD4F6A" w:rsidP="00AB5EE6">
      <w:pPr>
        <w:spacing w:before="0" w:after="0"/>
        <w:rPr>
          <w:rFonts w:eastAsia="Calibri" w:cs="Times New Roman"/>
          <w:color w:val="000000"/>
          <w:sz w:val="22"/>
          <w:szCs w:val="22"/>
        </w:rPr>
      </w:pPr>
      <w:r w:rsidRPr="005D12C6">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5F3663CE" w14:textId="77777777" w:rsidR="00DC616B" w:rsidRPr="005D12C6" w:rsidRDefault="00DC616B" w:rsidP="00AB5EE6">
      <w:pPr>
        <w:spacing w:before="0" w:after="0"/>
        <w:jc w:val="center"/>
        <w:rPr>
          <w:rFonts w:eastAsia="Calibri" w:cs="Times New Roman"/>
          <w:b/>
          <w:sz w:val="28"/>
          <w:szCs w:val="28"/>
        </w:rPr>
      </w:pPr>
    </w:p>
    <w:p w14:paraId="48A3FC6B" w14:textId="6B6FFD06" w:rsidR="00B82D70" w:rsidRPr="005D12C6" w:rsidRDefault="00BD4F6A" w:rsidP="00AB5EE6">
      <w:pPr>
        <w:spacing w:before="0" w:after="0"/>
        <w:jc w:val="center"/>
        <w:rPr>
          <w:rFonts w:eastAsia="Calibri" w:cs="Times New Roman"/>
          <w:b/>
          <w:sz w:val="28"/>
          <w:szCs w:val="28"/>
        </w:rPr>
      </w:pPr>
      <w:r w:rsidRPr="005D12C6">
        <w:rPr>
          <w:rFonts w:eastAsia="Calibri" w:cs="Times New Roman"/>
          <w:b/>
          <w:sz w:val="28"/>
          <w:szCs w:val="28"/>
        </w:rPr>
        <w:t xml:space="preserve">b) </w:t>
      </w:r>
      <w:r w:rsidR="00B82D70" w:rsidRPr="005D12C6">
        <w:rPr>
          <w:rFonts w:eastAsia="Calibri" w:cs="Times New Roman"/>
          <w:b/>
          <w:sz w:val="28"/>
          <w:szCs w:val="28"/>
        </w:rPr>
        <w:t>NOTAS DE DESGLOSE</w:t>
      </w:r>
    </w:p>
    <w:p w14:paraId="210F2B49" w14:textId="77777777" w:rsidR="00327653" w:rsidRPr="005D12C6" w:rsidRDefault="00327653" w:rsidP="00AB5EE6">
      <w:pPr>
        <w:widowControl w:val="0"/>
        <w:spacing w:before="0" w:after="0"/>
        <w:jc w:val="left"/>
        <w:rPr>
          <w:rFonts w:eastAsia="Calibri" w:cs="Times New Roman"/>
          <w:b/>
        </w:rPr>
      </w:pPr>
    </w:p>
    <w:p w14:paraId="1EB2E8BE" w14:textId="51B17CD7" w:rsidR="009627F2" w:rsidRPr="005D12C6" w:rsidRDefault="009627F2" w:rsidP="00AB5EE6">
      <w:pPr>
        <w:widowControl w:val="0"/>
        <w:spacing w:before="0" w:after="0"/>
        <w:jc w:val="left"/>
        <w:rPr>
          <w:rFonts w:eastAsia="Calibri" w:cs="Times New Roman"/>
          <w:b/>
        </w:rPr>
      </w:pPr>
      <w:r w:rsidRPr="005D12C6">
        <w:rPr>
          <w:rFonts w:eastAsia="Calibri" w:cs="Times New Roman"/>
          <w:b/>
        </w:rPr>
        <w:t>I). NOTAS AL ESTADO DE ACTIVIDADES</w:t>
      </w:r>
    </w:p>
    <w:p w14:paraId="50977EFD" w14:textId="5F568E54" w:rsidR="009627F2" w:rsidRPr="005D12C6" w:rsidRDefault="002B6023" w:rsidP="002B6023">
      <w:pPr>
        <w:widowControl w:val="0"/>
        <w:spacing w:before="0" w:after="0"/>
        <w:jc w:val="left"/>
        <w:rPr>
          <w:rFonts w:eastAsia="Calibri" w:cs="Times New Roman"/>
          <w:color w:val="000000"/>
          <w:sz w:val="22"/>
          <w:szCs w:val="22"/>
        </w:rPr>
      </w:pPr>
      <w:r w:rsidRPr="005D12C6">
        <w:rPr>
          <w:rFonts w:eastAsia="Calibri" w:cs="Times New Roman"/>
          <w:b/>
        </w:rPr>
        <w:t xml:space="preserve">    </w:t>
      </w:r>
    </w:p>
    <w:p w14:paraId="5EEF9211" w14:textId="1B74CD6C" w:rsidR="009627F2" w:rsidRPr="005D12C6" w:rsidRDefault="009627F2" w:rsidP="00AB5EE6">
      <w:pPr>
        <w:spacing w:before="0" w:after="0"/>
        <w:rPr>
          <w:rFonts w:eastAsia="Calibri" w:cs="Times New Roman"/>
          <w:color w:val="000000"/>
          <w:sz w:val="22"/>
          <w:szCs w:val="22"/>
        </w:rPr>
      </w:pPr>
      <w:r w:rsidRPr="005D12C6">
        <w:rPr>
          <w:rFonts w:eastAsia="Calibri" w:cs="Times New Roman"/>
          <w:color w:val="000000"/>
          <w:sz w:val="22"/>
          <w:szCs w:val="22"/>
        </w:rPr>
        <w:t xml:space="preserve">Este estado financiero, muestra dos grandes agregados representados por los </w:t>
      </w:r>
      <w:r w:rsidRPr="005D12C6">
        <w:rPr>
          <w:rFonts w:eastAsia="Calibri" w:cs="Times New Roman"/>
          <w:b/>
          <w:color w:val="000000"/>
          <w:sz w:val="22"/>
          <w:szCs w:val="22"/>
        </w:rPr>
        <w:t>ingresos y otros beneficios</w:t>
      </w:r>
      <w:r w:rsidRPr="005D12C6">
        <w:rPr>
          <w:rFonts w:eastAsia="Calibri" w:cs="Times New Roman"/>
          <w:color w:val="000000"/>
          <w:sz w:val="22"/>
          <w:szCs w:val="22"/>
        </w:rPr>
        <w:t xml:space="preserve">, así como los </w:t>
      </w:r>
      <w:r w:rsidRPr="005D12C6">
        <w:rPr>
          <w:rFonts w:eastAsia="Calibri" w:cs="Times New Roman"/>
          <w:b/>
          <w:color w:val="000000"/>
          <w:sz w:val="22"/>
          <w:szCs w:val="22"/>
        </w:rPr>
        <w:t>gastos y otras pérdidas</w:t>
      </w:r>
      <w:r w:rsidRPr="005D12C6">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sidR="00902E03" w:rsidRPr="005D12C6">
        <w:rPr>
          <w:rFonts w:eastAsia="Calibri" w:cs="Times New Roman"/>
          <w:color w:val="000000"/>
          <w:sz w:val="22"/>
          <w:szCs w:val="22"/>
        </w:rPr>
        <w:t>4</w:t>
      </w:r>
      <w:r w:rsidRPr="005D12C6">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sidR="00B70976" w:rsidRPr="005D12C6">
        <w:rPr>
          <w:rFonts w:eastAsia="Calibri" w:cs="Times New Roman"/>
          <w:color w:val="000000"/>
          <w:sz w:val="22"/>
          <w:szCs w:val="22"/>
        </w:rPr>
        <w:t>6</w:t>
      </w:r>
      <w:r w:rsidRPr="005D12C6">
        <w:rPr>
          <w:rFonts w:eastAsia="Calibri" w:cs="Times New Roman"/>
          <w:color w:val="000000"/>
          <w:sz w:val="22"/>
          <w:szCs w:val="22"/>
        </w:rPr>
        <w:t xml:space="preserve"> mil </w:t>
      </w:r>
      <w:r w:rsidR="00B70976" w:rsidRPr="005D12C6">
        <w:rPr>
          <w:rFonts w:eastAsia="Calibri" w:cs="Times New Roman"/>
          <w:color w:val="000000"/>
          <w:sz w:val="22"/>
          <w:szCs w:val="22"/>
        </w:rPr>
        <w:t>127</w:t>
      </w:r>
      <w:r w:rsidRPr="005D12C6">
        <w:rPr>
          <w:rFonts w:eastAsia="Calibri" w:cs="Times New Roman"/>
          <w:color w:val="000000"/>
          <w:sz w:val="22"/>
          <w:szCs w:val="22"/>
        </w:rPr>
        <w:t xml:space="preserve"> millones </w:t>
      </w:r>
      <w:r w:rsidR="00B70976" w:rsidRPr="005D12C6">
        <w:rPr>
          <w:rFonts w:eastAsia="Calibri" w:cs="Times New Roman"/>
          <w:color w:val="000000"/>
          <w:sz w:val="22"/>
          <w:szCs w:val="22"/>
        </w:rPr>
        <w:t>210</w:t>
      </w:r>
      <w:r w:rsidRPr="005D12C6">
        <w:rPr>
          <w:rFonts w:eastAsia="Calibri" w:cs="Times New Roman"/>
          <w:color w:val="000000"/>
          <w:sz w:val="22"/>
          <w:szCs w:val="22"/>
        </w:rPr>
        <w:t xml:space="preserve"> mil </w:t>
      </w:r>
      <w:r w:rsidR="00B70976" w:rsidRPr="005D12C6">
        <w:rPr>
          <w:rFonts w:eastAsia="Calibri" w:cs="Times New Roman"/>
          <w:color w:val="000000"/>
          <w:sz w:val="22"/>
          <w:szCs w:val="22"/>
        </w:rPr>
        <w:t>81</w:t>
      </w:r>
      <w:r w:rsidR="00265899" w:rsidRPr="005D12C6">
        <w:rPr>
          <w:rFonts w:eastAsia="Calibri" w:cs="Times New Roman"/>
          <w:color w:val="000000"/>
          <w:sz w:val="22"/>
          <w:szCs w:val="22"/>
        </w:rPr>
        <w:t>7</w:t>
      </w:r>
      <w:r w:rsidRPr="005D12C6">
        <w:rPr>
          <w:rFonts w:eastAsia="Calibri" w:cs="Times New Roman"/>
          <w:color w:val="000000"/>
          <w:sz w:val="22"/>
          <w:szCs w:val="22"/>
        </w:rPr>
        <w:t xml:space="preserve"> pesos</w:t>
      </w:r>
      <w:r w:rsidR="00265899" w:rsidRPr="005D12C6">
        <w:rPr>
          <w:rFonts w:eastAsia="Calibri" w:cs="Times New Roman"/>
          <w:color w:val="000000"/>
          <w:sz w:val="22"/>
          <w:szCs w:val="22"/>
        </w:rPr>
        <w:t xml:space="preserve"> 80 centavos</w:t>
      </w:r>
      <w:r w:rsidRPr="005D12C6">
        <w:rPr>
          <w:rFonts w:eastAsia="Calibri" w:cs="Times New Roman"/>
          <w:color w:val="000000"/>
          <w:sz w:val="22"/>
          <w:szCs w:val="22"/>
        </w:rPr>
        <w:t xml:space="preserve">.  </w:t>
      </w:r>
    </w:p>
    <w:p w14:paraId="36B03CE7" w14:textId="77777777" w:rsidR="002B6023" w:rsidRPr="005D12C6" w:rsidRDefault="002B6023" w:rsidP="00AB5EE6">
      <w:pPr>
        <w:spacing w:before="0" w:after="0"/>
        <w:rPr>
          <w:rFonts w:eastAsia="Calibri" w:cs="Times New Roman"/>
          <w:b/>
        </w:rPr>
      </w:pPr>
    </w:p>
    <w:p w14:paraId="27C36E12" w14:textId="019342A1" w:rsidR="009627F2" w:rsidRPr="005D12C6" w:rsidRDefault="002B6023" w:rsidP="00AB5EE6">
      <w:pPr>
        <w:spacing w:before="0" w:after="0"/>
        <w:rPr>
          <w:rFonts w:eastAsia="Calibri" w:cs="Times New Roman"/>
          <w:color w:val="000000"/>
          <w:sz w:val="22"/>
          <w:szCs w:val="22"/>
        </w:rPr>
      </w:pPr>
      <w:r w:rsidRPr="005D12C6">
        <w:rPr>
          <w:rFonts w:eastAsia="Calibri" w:cs="Times New Roman"/>
          <w:b/>
        </w:rPr>
        <w:t>INGRESOS Y OTROS BENEFICIOS</w:t>
      </w:r>
    </w:p>
    <w:p w14:paraId="0F625E7E" w14:textId="2585CCEB" w:rsidR="009627F2" w:rsidRPr="005D12C6" w:rsidRDefault="009627F2" w:rsidP="00AB5EE6">
      <w:pPr>
        <w:spacing w:before="0" w:after="0"/>
        <w:rPr>
          <w:rFonts w:ascii="Arial" w:hAnsi="Arial" w:cs="Arial"/>
          <w:sz w:val="22"/>
          <w:szCs w:val="22"/>
        </w:rPr>
      </w:pPr>
      <w:r w:rsidRPr="005D12C6">
        <w:rPr>
          <w:rFonts w:eastAsia="Calibri" w:cs="Times New Roman"/>
          <w:color w:val="000000"/>
          <w:sz w:val="22"/>
          <w:szCs w:val="22"/>
        </w:rPr>
        <w:t xml:space="preserve">1. Los ingresos obtenidos al </w:t>
      </w:r>
      <w:r w:rsidR="00833B74" w:rsidRPr="005D12C6">
        <w:rPr>
          <w:rFonts w:eastAsia="Calibri" w:cs="Times New Roman"/>
          <w:bCs/>
          <w:color w:val="000000"/>
          <w:sz w:val="22"/>
          <w:szCs w:val="22"/>
        </w:rPr>
        <w:t>segundo</w:t>
      </w:r>
      <w:r w:rsidR="00F160BA" w:rsidRPr="005D12C6">
        <w:rPr>
          <w:rFonts w:eastAsia="Calibri" w:cs="Times New Roman"/>
          <w:color w:val="000000"/>
          <w:sz w:val="22"/>
          <w:szCs w:val="22"/>
        </w:rPr>
        <w:t xml:space="preserve"> trimestre</w:t>
      </w:r>
      <w:r w:rsidRPr="005D12C6">
        <w:rPr>
          <w:rFonts w:eastAsia="Calibri" w:cs="Times New Roman"/>
          <w:color w:val="000000"/>
          <w:sz w:val="22"/>
          <w:szCs w:val="22"/>
        </w:rPr>
        <w:t xml:space="preserve"> del </w:t>
      </w:r>
      <w:r w:rsidR="00B5409A" w:rsidRPr="005D12C6">
        <w:rPr>
          <w:rFonts w:eastAsia="Calibri" w:cs="Times New Roman"/>
          <w:color w:val="000000"/>
          <w:sz w:val="22"/>
          <w:szCs w:val="22"/>
        </w:rPr>
        <w:t>ejercicio fiscal</w:t>
      </w:r>
      <w:r w:rsidRPr="005D12C6">
        <w:rPr>
          <w:rFonts w:eastAsia="Calibri" w:cs="Times New Roman"/>
          <w:color w:val="000000"/>
          <w:sz w:val="22"/>
          <w:szCs w:val="22"/>
        </w:rPr>
        <w:t xml:space="preserve"> que se informa, ascienden a </w:t>
      </w:r>
      <w:r w:rsidR="00B70976" w:rsidRPr="005D12C6">
        <w:rPr>
          <w:rFonts w:eastAsia="Calibri" w:cs="Times New Roman"/>
          <w:color w:val="000000"/>
          <w:sz w:val="22"/>
          <w:szCs w:val="22"/>
        </w:rPr>
        <w:t>53</w:t>
      </w:r>
      <w:r w:rsidRPr="005D12C6">
        <w:rPr>
          <w:rFonts w:eastAsia="Calibri" w:cs="Times New Roman"/>
          <w:color w:val="000000"/>
          <w:sz w:val="22"/>
          <w:szCs w:val="22"/>
        </w:rPr>
        <w:t xml:space="preserve"> mil </w:t>
      </w:r>
      <w:r w:rsidR="00B70976" w:rsidRPr="005D12C6">
        <w:rPr>
          <w:rFonts w:eastAsia="Calibri" w:cs="Times New Roman"/>
          <w:color w:val="000000"/>
          <w:sz w:val="22"/>
          <w:szCs w:val="22"/>
        </w:rPr>
        <w:t>791</w:t>
      </w:r>
      <w:r w:rsidRPr="005D12C6">
        <w:rPr>
          <w:rFonts w:eastAsia="Calibri" w:cs="Times New Roman"/>
          <w:color w:val="000000"/>
          <w:sz w:val="22"/>
          <w:szCs w:val="22"/>
        </w:rPr>
        <w:t xml:space="preserve"> millones </w:t>
      </w:r>
      <w:r w:rsidR="00B70976" w:rsidRPr="005D12C6">
        <w:rPr>
          <w:rFonts w:eastAsia="Calibri" w:cs="Times New Roman"/>
          <w:color w:val="000000"/>
          <w:sz w:val="22"/>
          <w:szCs w:val="22"/>
        </w:rPr>
        <w:t>144</w:t>
      </w:r>
      <w:r w:rsidRPr="005D12C6">
        <w:rPr>
          <w:rFonts w:eastAsia="Calibri" w:cs="Times New Roman"/>
          <w:color w:val="000000"/>
          <w:sz w:val="22"/>
          <w:szCs w:val="22"/>
        </w:rPr>
        <w:t xml:space="preserve"> mil </w:t>
      </w:r>
      <w:r w:rsidR="00B70976" w:rsidRPr="005D12C6">
        <w:rPr>
          <w:rFonts w:eastAsia="Calibri" w:cs="Times New Roman"/>
          <w:color w:val="000000"/>
          <w:sz w:val="22"/>
          <w:szCs w:val="22"/>
        </w:rPr>
        <w:t>84</w:t>
      </w:r>
      <w:r w:rsidR="004F03AA" w:rsidRPr="005D12C6">
        <w:rPr>
          <w:rFonts w:eastAsia="Calibri" w:cs="Times New Roman"/>
          <w:color w:val="000000"/>
          <w:sz w:val="22"/>
          <w:szCs w:val="22"/>
        </w:rPr>
        <w:t>7</w:t>
      </w:r>
      <w:r w:rsidRPr="005D12C6">
        <w:rPr>
          <w:rFonts w:eastAsia="Calibri" w:cs="Times New Roman"/>
          <w:color w:val="000000"/>
          <w:sz w:val="22"/>
          <w:szCs w:val="22"/>
        </w:rPr>
        <w:t xml:space="preserve"> pesos</w:t>
      </w:r>
      <w:r w:rsidR="004F03AA" w:rsidRPr="005D12C6">
        <w:rPr>
          <w:rFonts w:eastAsia="Calibri" w:cs="Times New Roman"/>
          <w:color w:val="000000"/>
          <w:sz w:val="22"/>
          <w:szCs w:val="22"/>
        </w:rPr>
        <w:t xml:space="preserve"> 79 centavos</w:t>
      </w:r>
      <w:r w:rsidRPr="005D12C6">
        <w:rPr>
          <w:rFonts w:eastAsia="Calibri" w:cs="Times New Roman"/>
          <w:color w:val="000000"/>
          <w:sz w:val="22"/>
          <w:szCs w:val="22"/>
        </w:rPr>
        <w:t xml:space="preserve">, que </w:t>
      </w:r>
      <w:r w:rsidRPr="005D12C6">
        <w:rPr>
          <w:rFonts w:eastAsia="Calibri" w:cs="Times New Roman"/>
          <w:color w:val="000000"/>
          <w:sz w:val="22"/>
          <w:szCs w:val="22"/>
        </w:rPr>
        <w:lastRenderedPageBreak/>
        <w:t xml:space="preserve">se integran principalmente por participaciones, aportaciones, transferencias, asignaciones, subsidios y otras ayudas que representan el </w:t>
      </w:r>
      <w:r w:rsidR="009A3967" w:rsidRPr="005D12C6">
        <w:rPr>
          <w:rFonts w:eastAsia="Calibri" w:cs="Times New Roman"/>
          <w:color w:val="000000"/>
          <w:sz w:val="22"/>
          <w:szCs w:val="22"/>
        </w:rPr>
        <w:t>9</w:t>
      </w:r>
      <w:r w:rsidR="00B70976" w:rsidRPr="005D12C6">
        <w:rPr>
          <w:rFonts w:eastAsia="Calibri" w:cs="Times New Roman"/>
          <w:color w:val="000000"/>
          <w:sz w:val="22"/>
          <w:szCs w:val="22"/>
        </w:rPr>
        <w:t>2</w:t>
      </w:r>
      <w:r w:rsidRPr="005D12C6">
        <w:rPr>
          <w:rFonts w:eastAsia="Calibri" w:cs="Times New Roman"/>
          <w:color w:val="000000"/>
          <w:sz w:val="22"/>
          <w:szCs w:val="22"/>
        </w:rPr>
        <w:t xml:space="preserve">% </w:t>
      </w:r>
      <w:r w:rsidRPr="005D12C6">
        <w:rPr>
          <w:rFonts w:eastAsia="Calibri" w:cs="Times New Roman"/>
          <w:sz w:val="22"/>
          <w:szCs w:val="22"/>
        </w:rPr>
        <w:t xml:space="preserve">así como ingresos de la gestión que representan el </w:t>
      </w:r>
      <w:r w:rsidR="00B70976" w:rsidRPr="005D12C6">
        <w:rPr>
          <w:rFonts w:eastAsia="Calibri" w:cs="Times New Roman"/>
          <w:sz w:val="22"/>
          <w:szCs w:val="22"/>
        </w:rPr>
        <w:t>8</w:t>
      </w:r>
      <w:r w:rsidRPr="005D12C6">
        <w:rPr>
          <w:rFonts w:eastAsia="Calibri" w:cs="Times New Roman"/>
          <w:sz w:val="22"/>
          <w:szCs w:val="22"/>
        </w:rPr>
        <w:t>%, como se detalla a continuación:</w:t>
      </w:r>
      <w:r w:rsidRPr="005D12C6">
        <w:rPr>
          <w:rFonts w:ascii="Arial" w:hAnsi="Arial" w:cs="Arial"/>
          <w:sz w:val="22"/>
          <w:szCs w:val="22"/>
        </w:rPr>
        <w:t xml:space="preserve"> </w:t>
      </w:r>
    </w:p>
    <w:p w14:paraId="7A0D6667" w14:textId="4F619310" w:rsidR="009627F2" w:rsidRPr="005D12C6" w:rsidRDefault="00B70976" w:rsidP="009627F2">
      <w:pPr>
        <w:spacing w:before="0" w:after="0"/>
        <w:jc w:val="center"/>
        <w:rPr>
          <w:rFonts w:eastAsia="Calibri" w:cs="Times New Roman"/>
          <w:b/>
          <w:color w:val="833C0B"/>
          <w:sz w:val="22"/>
          <w:szCs w:val="22"/>
        </w:rPr>
      </w:pPr>
      <w:r w:rsidRPr="005D12C6">
        <w:rPr>
          <w:noProof/>
          <w:lang w:val="es-MX" w:eastAsia="es-MX"/>
        </w:rPr>
        <w:drawing>
          <wp:inline distT="0" distB="0" distL="0" distR="0" wp14:anchorId="3A0B95AD" wp14:editId="107B4D74">
            <wp:extent cx="6351270" cy="902898"/>
            <wp:effectExtent l="0" t="0" r="0" b="0"/>
            <wp:docPr id="74557973" name="Imagen 7455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1270" cy="902898"/>
                    </a:xfrm>
                    <a:prstGeom prst="rect">
                      <a:avLst/>
                    </a:prstGeom>
                    <a:noFill/>
                    <a:ln>
                      <a:noFill/>
                    </a:ln>
                  </pic:spPr>
                </pic:pic>
              </a:graphicData>
            </a:graphic>
          </wp:inline>
        </w:drawing>
      </w:r>
    </w:p>
    <w:p w14:paraId="7FE2CD36" w14:textId="5D8FBECF" w:rsidR="009627F2" w:rsidRPr="005D12C6" w:rsidRDefault="009627F2" w:rsidP="009627F2">
      <w:r w:rsidRPr="005D12C6">
        <w:rPr>
          <w:rFonts w:eastAsia="Calibri" w:cs="Times New Roman"/>
          <w:sz w:val="22"/>
          <w:szCs w:val="22"/>
        </w:rPr>
        <w:t xml:space="preserve">En relación con los ingresos obtenidos, se encuentra en forma específica un análisis por concepto, en el apartado </w:t>
      </w:r>
      <w:r w:rsidRPr="005D12C6">
        <w:rPr>
          <w:b/>
          <w:bCs/>
        </w:rPr>
        <w:t xml:space="preserve">II.1.c ANALISIS DE INGRESOS, </w:t>
      </w:r>
      <w:r w:rsidRPr="005D12C6">
        <w:t>por lo que en este apartado se informa de manera general</w:t>
      </w:r>
      <w:r w:rsidR="00856DCE" w:rsidRPr="005D12C6">
        <w:t>.</w:t>
      </w:r>
    </w:p>
    <w:p w14:paraId="460471D2" w14:textId="47050D1A" w:rsidR="00C5044A" w:rsidRPr="005D12C6" w:rsidRDefault="00C5044A" w:rsidP="009627F2">
      <w:pPr>
        <w:rPr>
          <w:b/>
          <w:bCs/>
        </w:rPr>
      </w:pPr>
    </w:p>
    <w:p w14:paraId="613B5391" w14:textId="15D03212" w:rsidR="009627F2" w:rsidRPr="005D12C6" w:rsidRDefault="009627F2" w:rsidP="009627F2">
      <w:pPr>
        <w:rPr>
          <w:b/>
          <w:bCs/>
        </w:rPr>
      </w:pPr>
      <w:r w:rsidRPr="005D12C6">
        <w:rPr>
          <w:b/>
          <w:bCs/>
        </w:rPr>
        <w:t>- INGRESOS DE GESTIÓN</w:t>
      </w:r>
    </w:p>
    <w:p w14:paraId="3C01DA29" w14:textId="7BE5D4FE" w:rsidR="009627F2" w:rsidRPr="005D12C6" w:rsidRDefault="009627F2" w:rsidP="009627F2">
      <w:r w:rsidRPr="005D12C6">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B70976" w:rsidRPr="005D12C6">
        <w:t>4</w:t>
      </w:r>
      <w:r w:rsidRPr="005D12C6">
        <w:t xml:space="preserve"> mil </w:t>
      </w:r>
      <w:r w:rsidR="00B70976" w:rsidRPr="005D12C6">
        <w:t>305</w:t>
      </w:r>
      <w:r w:rsidRPr="005D12C6">
        <w:t xml:space="preserve"> millones </w:t>
      </w:r>
      <w:r w:rsidR="00984C0D" w:rsidRPr="005D12C6">
        <w:t>5</w:t>
      </w:r>
      <w:r w:rsidRPr="005D12C6">
        <w:t xml:space="preserve"> mil </w:t>
      </w:r>
      <w:r w:rsidR="00B70976" w:rsidRPr="005D12C6">
        <w:t>381</w:t>
      </w:r>
      <w:r w:rsidRPr="005D12C6">
        <w:t xml:space="preserve"> pesos</w:t>
      </w:r>
      <w:r w:rsidR="00120F97" w:rsidRPr="005D12C6">
        <w:t xml:space="preserve"> 22 centavos</w:t>
      </w:r>
      <w:r w:rsidRPr="005D12C6">
        <w:t>, como sigue:</w:t>
      </w:r>
    </w:p>
    <w:p w14:paraId="2E1B33BB" w14:textId="5E9873AC" w:rsidR="009627F2" w:rsidRPr="005D12C6" w:rsidRDefault="00B70976" w:rsidP="009627F2">
      <w:pPr>
        <w:rPr>
          <w:rFonts w:eastAsia="Calibri" w:cs="Times New Roman"/>
          <w:sz w:val="22"/>
          <w:szCs w:val="22"/>
        </w:rPr>
      </w:pPr>
      <w:r w:rsidRPr="005D12C6">
        <w:rPr>
          <w:noProof/>
          <w:lang w:val="es-MX" w:eastAsia="es-MX"/>
        </w:rPr>
        <w:drawing>
          <wp:inline distT="0" distB="0" distL="0" distR="0" wp14:anchorId="469F3A51" wp14:editId="5DD48CF0">
            <wp:extent cx="6351270" cy="1124964"/>
            <wp:effectExtent l="0" t="0" r="0" b="0"/>
            <wp:docPr id="74557974" name="Imagen 7455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270" cy="1124964"/>
                    </a:xfrm>
                    <a:prstGeom prst="rect">
                      <a:avLst/>
                    </a:prstGeom>
                    <a:noFill/>
                    <a:ln>
                      <a:noFill/>
                    </a:ln>
                  </pic:spPr>
                </pic:pic>
              </a:graphicData>
            </a:graphic>
          </wp:inline>
        </w:drawing>
      </w:r>
    </w:p>
    <w:p w14:paraId="649C68CB" w14:textId="5FB15284" w:rsidR="009627F2" w:rsidRPr="005D12C6" w:rsidRDefault="009627F2" w:rsidP="009627F2">
      <w:pPr>
        <w:rPr>
          <w:b/>
          <w:bCs/>
        </w:rPr>
      </w:pPr>
      <w:r w:rsidRPr="005D12C6">
        <w:rPr>
          <w:b/>
          <w:bCs/>
        </w:rPr>
        <w:t>- PARTICIPACIONES, APORTACIONES, CONVENIOS, INCENTIVOS DERIVADOS DE LA COLABORACIÓN FISCAL, FONDOS DISTINTOS DE APORTACIONES, TRANSFERENCIAS, ASIGNACIONES, SUBSIDIOS Y SUBVENCIONES, Y PENSIONES Y JUBILACIONES.</w:t>
      </w:r>
    </w:p>
    <w:p w14:paraId="79A89761" w14:textId="19A48B0B" w:rsidR="009627F2" w:rsidRPr="005D12C6" w:rsidRDefault="009627F2" w:rsidP="009627F2">
      <w:r w:rsidRPr="005D12C6">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5D12C6">
        <w:t xml:space="preserve">están armonizados en los rubros del Clasificador por Rubro de Ingresos (CRI), se informan los montos totales obtenidos por </w:t>
      </w:r>
      <w:r w:rsidR="00C45828" w:rsidRPr="005D12C6">
        <w:t>49</w:t>
      </w:r>
      <w:r w:rsidRPr="005D12C6">
        <w:t xml:space="preserve"> mil </w:t>
      </w:r>
      <w:r w:rsidR="00984C0D" w:rsidRPr="005D12C6">
        <w:t>4</w:t>
      </w:r>
      <w:r w:rsidR="00C45828" w:rsidRPr="005D12C6">
        <w:t>81</w:t>
      </w:r>
      <w:r w:rsidRPr="005D12C6">
        <w:t xml:space="preserve"> millones </w:t>
      </w:r>
      <w:r w:rsidR="00C45828" w:rsidRPr="005D12C6">
        <w:t>510</w:t>
      </w:r>
      <w:r w:rsidRPr="005D12C6">
        <w:t xml:space="preserve"> mil </w:t>
      </w:r>
      <w:r w:rsidR="00120F97" w:rsidRPr="005D12C6">
        <w:t>409</w:t>
      </w:r>
      <w:r w:rsidRPr="005D12C6">
        <w:t xml:space="preserve"> pesos</w:t>
      </w:r>
      <w:r w:rsidR="00120F97" w:rsidRPr="005D12C6">
        <w:t xml:space="preserve"> 58 centavos</w:t>
      </w:r>
      <w:r w:rsidRPr="005D12C6">
        <w:t>, como sigue:</w:t>
      </w:r>
    </w:p>
    <w:p w14:paraId="6F61AE8B" w14:textId="4E473A9D" w:rsidR="00C85E62" w:rsidRPr="005D12C6" w:rsidRDefault="00C45828" w:rsidP="009627F2">
      <w:r w:rsidRPr="005D12C6">
        <w:rPr>
          <w:noProof/>
          <w:lang w:val="es-MX" w:eastAsia="es-MX"/>
        </w:rPr>
        <w:lastRenderedPageBreak/>
        <w:drawing>
          <wp:inline distT="0" distB="0" distL="0" distR="0" wp14:anchorId="72ACDD2B" wp14:editId="20AFA427">
            <wp:extent cx="6351270" cy="670072"/>
            <wp:effectExtent l="0" t="0" r="0" b="0"/>
            <wp:docPr id="74557975" name="Imagen 7455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1270" cy="670072"/>
                    </a:xfrm>
                    <a:prstGeom prst="rect">
                      <a:avLst/>
                    </a:prstGeom>
                    <a:noFill/>
                    <a:ln>
                      <a:noFill/>
                    </a:ln>
                  </pic:spPr>
                </pic:pic>
              </a:graphicData>
            </a:graphic>
          </wp:inline>
        </w:drawing>
      </w:r>
    </w:p>
    <w:p w14:paraId="1E3B86EC" w14:textId="77777777" w:rsidR="00C5044A" w:rsidRPr="005D12C6" w:rsidRDefault="00C5044A" w:rsidP="009627F2">
      <w:pPr>
        <w:rPr>
          <w:rFonts w:eastAsia="Calibri" w:cs="Times New Roman"/>
          <w:b/>
          <w:bCs/>
          <w:color w:val="000000"/>
          <w:sz w:val="22"/>
          <w:szCs w:val="22"/>
        </w:rPr>
      </w:pPr>
    </w:p>
    <w:p w14:paraId="210070A8" w14:textId="4030A7D4" w:rsidR="009627F2" w:rsidRPr="005D12C6" w:rsidRDefault="009627F2" w:rsidP="009627F2">
      <w:pPr>
        <w:rPr>
          <w:rFonts w:eastAsia="Calibri" w:cs="Times New Roman"/>
          <w:b/>
          <w:bCs/>
          <w:color w:val="000000"/>
          <w:sz w:val="22"/>
          <w:szCs w:val="22"/>
        </w:rPr>
      </w:pPr>
      <w:r w:rsidRPr="005D12C6">
        <w:rPr>
          <w:rFonts w:eastAsia="Calibri" w:cs="Times New Roman"/>
          <w:b/>
          <w:bCs/>
          <w:color w:val="000000"/>
          <w:sz w:val="22"/>
          <w:szCs w:val="22"/>
        </w:rPr>
        <w:t>- OTROS INGRESOS Y BENEFICIOS</w:t>
      </w:r>
    </w:p>
    <w:p w14:paraId="28EE9FA5" w14:textId="7CC28233" w:rsidR="009627F2" w:rsidRPr="005D12C6" w:rsidRDefault="009627F2" w:rsidP="009627F2">
      <w:pPr>
        <w:rPr>
          <w:rFonts w:eastAsia="Calibri" w:cs="Times New Roman"/>
          <w:bCs/>
          <w:color w:val="000000"/>
          <w:sz w:val="22"/>
          <w:szCs w:val="22"/>
        </w:rPr>
      </w:pPr>
      <w:r w:rsidRPr="005D12C6">
        <w:rPr>
          <w:rFonts w:eastAsia="Calibri" w:cs="Times New Roman"/>
          <w:bCs/>
          <w:color w:val="000000"/>
          <w:sz w:val="22"/>
          <w:szCs w:val="22"/>
        </w:rPr>
        <w:t>Se compone de los rubros de ingresos financieros, incremento por variación de inventarios, disminución del exceso por pérdida o Deterior</w:t>
      </w:r>
      <w:r w:rsidR="00320538" w:rsidRPr="005D12C6">
        <w:rPr>
          <w:rFonts w:eastAsia="Calibri" w:cs="Times New Roman"/>
          <w:bCs/>
          <w:color w:val="000000"/>
          <w:sz w:val="22"/>
          <w:szCs w:val="22"/>
        </w:rPr>
        <w:t>o</w:t>
      </w:r>
      <w:r w:rsidRPr="005D12C6">
        <w:rPr>
          <w:rFonts w:eastAsia="Calibri" w:cs="Times New Roman"/>
          <w:bCs/>
          <w:color w:val="000000"/>
          <w:sz w:val="22"/>
          <w:szCs w:val="22"/>
        </w:rPr>
        <w:t xml:space="preserve"> u obsolescencia, disminución de excesos de provisiones y de otros ingresos y beneficios varios y se informan los montos totales como sigue:</w:t>
      </w:r>
    </w:p>
    <w:p w14:paraId="30A42D0A" w14:textId="0F30C86E" w:rsidR="00C85E62" w:rsidRPr="005D12C6" w:rsidRDefault="00C45828" w:rsidP="009627F2">
      <w:pPr>
        <w:rPr>
          <w:rFonts w:eastAsia="Calibri" w:cs="Times New Roman"/>
          <w:b/>
          <w:bCs/>
          <w:color w:val="000000"/>
          <w:sz w:val="22"/>
          <w:szCs w:val="22"/>
        </w:rPr>
      </w:pPr>
      <w:r w:rsidRPr="005D12C6">
        <w:rPr>
          <w:noProof/>
          <w:lang w:val="es-MX" w:eastAsia="es-MX"/>
        </w:rPr>
        <w:drawing>
          <wp:inline distT="0" distB="0" distL="0" distR="0" wp14:anchorId="2E4F8E48" wp14:editId="487D03A6">
            <wp:extent cx="6351270" cy="684274"/>
            <wp:effectExtent l="0" t="0" r="0" b="1905"/>
            <wp:docPr id="74557976" name="Imagen 7455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684274"/>
                    </a:xfrm>
                    <a:prstGeom prst="rect">
                      <a:avLst/>
                    </a:prstGeom>
                    <a:noFill/>
                    <a:ln>
                      <a:noFill/>
                    </a:ln>
                  </pic:spPr>
                </pic:pic>
              </a:graphicData>
            </a:graphic>
          </wp:inline>
        </w:drawing>
      </w:r>
    </w:p>
    <w:p w14:paraId="78618ADB" w14:textId="190C0F81" w:rsidR="009627F2" w:rsidRPr="005D12C6" w:rsidRDefault="009627F2" w:rsidP="009627F2">
      <w:pPr>
        <w:rPr>
          <w:rFonts w:eastAsia="Calibri" w:cs="Times New Roman"/>
          <w:b/>
          <w:bCs/>
          <w:color w:val="000000"/>
          <w:sz w:val="22"/>
          <w:szCs w:val="22"/>
        </w:rPr>
      </w:pPr>
      <w:r w:rsidRPr="005D12C6">
        <w:rPr>
          <w:rFonts w:eastAsia="Calibri" w:cs="Times New Roman"/>
          <w:b/>
          <w:bCs/>
          <w:color w:val="000000"/>
          <w:sz w:val="22"/>
          <w:szCs w:val="22"/>
        </w:rPr>
        <w:t>GASTOS Y OTRAS PÉRDIDAS</w:t>
      </w:r>
    </w:p>
    <w:p w14:paraId="5118E719" w14:textId="572B2148" w:rsidR="009627F2" w:rsidRPr="005D12C6" w:rsidRDefault="009627F2" w:rsidP="009627F2">
      <w:pPr>
        <w:rPr>
          <w:rFonts w:ascii="Arial" w:hAnsi="Arial" w:cs="Arial"/>
          <w:color w:val="000000"/>
          <w:sz w:val="22"/>
          <w:szCs w:val="22"/>
        </w:rPr>
      </w:pPr>
      <w:r w:rsidRPr="005D12C6">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00C45828" w:rsidRPr="005D12C6">
        <w:rPr>
          <w:rFonts w:eastAsia="Calibri" w:cs="Times New Roman"/>
          <w:color w:val="000000"/>
          <w:sz w:val="22"/>
          <w:szCs w:val="22"/>
        </w:rPr>
        <w:t>47</w:t>
      </w:r>
      <w:r w:rsidR="00A46496" w:rsidRPr="005D12C6">
        <w:rPr>
          <w:rFonts w:eastAsia="Calibri" w:cs="Times New Roman"/>
          <w:color w:val="000000"/>
          <w:sz w:val="22"/>
          <w:szCs w:val="22"/>
        </w:rPr>
        <w:t xml:space="preserve"> mil</w:t>
      </w:r>
      <w:r w:rsidRPr="005D12C6">
        <w:rPr>
          <w:rFonts w:eastAsia="Calibri" w:cs="Times New Roman"/>
          <w:color w:val="000000"/>
          <w:sz w:val="22"/>
          <w:szCs w:val="22"/>
        </w:rPr>
        <w:t xml:space="preserve"> </w:t>
      </w:r>
      <w:r w:rsidR="00C45828" w:rsidRPr="005D12C6">
        <w:rPr>
          <w:rFonts w:eastAsia="Calibri" w:cs="Times New Roman"/>
          <w:color w:val="000000"/>
          <w:sz w:val="22"/>
          <w:szCs w:val="22"/>
        </w:rPr>
        <w:t>663</w:t>
      </w:r>
      <w:r w:rsidRPr="005D12C6">
        <w:rPr>
          <w:rFonts w:eastAsia="Calibri" w:cs="Times New Roman"/>
          <w:color w:val="000000"/>
          <w:sz w:val="22"/>
          <w:szCs w:val="22"/>
        </w:rPr>
        <w:t xml:space="preserve"> </w:t>
      </w:r>
      <w:r w:rsidR="00A46496" w:rsidRPr="005D12C6">
        <w:rPr>
          <w:rFonts w:eastAsia="Calibri" w:cs="Times New Roman"/>
          <w:color w:val="000000"/>
          <w:sz w:val="22"/>
          <w:szCs w:val="22"/>
        </w:rPr>
        <w:t xml:space="preserve">millones </w:t>
      </w:r>
      <w:r w:rsidR="00C45828" w:rsidRPr="005D12C6">
        <w:rPr>
          <w:rFonts w:eastAsia="Calibri" w:cs="Times New Roman"/>
          <w:color w:val="000000"/>
          <w:sz w:val="22"/>
          <w:szCs w:val="22"/>
        </w:rPr>
        <w:t>934</w:t>
      </w:r>
      <w:r w:rsidRPr="005D12C6">
        <w:rPr>
          <w:rFonts w:eastAsia="Calibri" w:cs="Times New Roman"/>
          <w:color w:val="000000"/>
          <w:sz w:val="22"/>
          <w:szCs w:val="22"/>
        </w:rPr>
        <w:t xml:space="preserve"> mil </w:t>
      </w:r>
      <w:r w:rsidR="00120F97" w:rsidRPr="005D12C6">
        <w:rPr>
          <w:rFonts w:eastAsia="Calibri" w:cs="Times New Roman"/>
          <w:color w:val="000000"/>
          <w:sz w:val="22"/>
          <w:szCs w:val="22"/>
        </w:rPr>
        <w:t>29</w:t>
      </w:r>
      <w:r w:rsidRPr="005D12C6">
        <w:rPr>
          <w:rFonts w:eastAsia="Calibri" w:cs="Times New Roman"/>
          <w:color w:val="000000"/>
          <w:sz w:val="22"/>
          <w:szCs w:val="22"/>
        </w:rPr>
        <w:t xml:space="preserve"> pesos</w:t>
      </w:r>
      <w:r w:rsidR="00120F97" w:rsidRPr="005D12C6">
        <w:rPr>
          <w:rFonts w:eastAsia="Calibri" w:cs="Times New Roman"/>
          <w:color w:val="000000"/>
          <w:sz w:val="22"/>
          <w:szCs w:val="22"/>
        </w:rPr>
        <w:t xml:space="preserve"> 99 centavos,</w:t>
      </w:r>
      <w:r w:rsidRPr="005D12C6">
        <w:rPr>
          <w:rFonts w:eastAsia="Calibri" w:cs="Times New Roman"/>
          <w:color w:val="000000"/>
          <w:sz w:val="22"/>
          <w:szCs w:val="22"/>
        </w:rPr>
        <w:t xml:space="preserve"> como se detalla enseguida:</w:t>
      </w:r>
      <w:r w:rsidRPr="005D12C6">
        <w:rPr>
          <w:rFonts w:ascii="Arial" w:hAnsi="Arial" w:cs="Arial"/>
          <w:color w:val="000000"/>
          <w:sz w:val="22"/>
          <w:szCs w:val="22"/>
        </w:rPr>
        <w:t xml:space="preserve"> </w:t>
      </w:r>
    </w:p>
    <w:p w14:paraId="43668785" w14:textId="7C249550" w:rsidR="009627F2" w:rsidRPr="005D12C6" w:rsidRDefault="00C45828" w:rsidP="009627F2">
      <w:pPr>
        <w:rPr>
          <w:rFonts w:eastAsia="Calibri" w:cs="Times New Roman"/>
          <w:color w:val="000000"/>
          <w:sz w:val="22"/>
          <w:szCs w:val="22"/>
        </w:rPr>
      </w:pPr>
      <w:r w:rsidRPr="005D12C6">
        <w:rPr>
          <w:noProof/>
          <w:lang w:val="es-MX" w:eastAsia="es-MX"/>
        </w:rPr>
        <w:drawing>
          <wp:inline distT="0" distB="0" distL="0" distR="0" wp14:anchorId="1664E181" wp14:editId="4C8242DD">
            <wp:extent cx="6351270" cy="1124964"/>
            <wp:effectExtent l="0" t="0" r="0" b="0"/>
            <wp:docPr id="74557977" name="Imagen 7455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1124964"/>
                    </a:xfrm>
                    <a:prstGeom prst="rect">
                      <a:avLst/>
                    </a:prstGeom>
                    <a:noFill/>
                    <a:ln>
                      <a:noFill/>
                    </a:ln>
                  </pic:spPr>
                </pic:pic>
              </a:graphicData>
            </a:graphic>
          </wp:inline>
        </w:drawing>
      </w:r>
    </w:p>
    <w:p w14:paraId="4F69C033" w14:textId="77777777" w:rsidR="009627F2" w:rsidRPr="005D12C6" w:rsidRDefault="009627F2" w:rsidP="009627F2">
      <w:pPr>
        <w:spacing w:before="120" w:after="120"/>
        <w:rPr>
          <w:rFonts w:eastAsia="Calibri" w:cs="Times New Roman"/>
          <w:sz w:val="22"/>
          <w:szCs w:val="22"/>
        </w:rPr>
      </w:pPr>
      <w:r w:rsidRPr="005D12C6">
        <w:rPr>
          <w:rFonts w:eastAsia="Calibri" w:cs="Times New Roman"/>
          <w:sz w:val="22"/>
          <w:szCs w:val="22"/>
        </w:rPr>
        <w:t>A continuación, se explican aquellas cuentas del gasto que en lo individual representan el 10% o más del gasto total, siendo las más representativas las siguientes:</w:t>
      </w:r>
    </w:p>
    <w:p w14:paraId="26FF37ED" w14:textId="474EC6C9" w:rsidR="009627F2" w:rsidRPr="005D12C6" w:rsidRDefault="009627F2" w:rsidP="009627F2">
      <w:pPr>
        <w:spacing w:before="120" w:after="120"/>
        <w:rPr>
          <w:rFonts w:eastAsia="Calibri" w:cs="Times New Roman"/>
          <w:sz w:val="22"/>
          <w:szCs w:val="22"/>
        </w:rPr>
      </w:pPr>
      <w:r w:rsidRPr="005D12C6">
        <w:rPr>
          <w:rFonts w:eastAsia="Calibri" w:cs="Times New Roman"/>
          <w:b/>
          <w:sz w:val="22"/>
          <w:szCs w:val="22"/>
        </w:rPr>
        <w:t>Servicios Personales</w:t>
      </w:r>
      <w:r w:rsidRPr="005D12C6">
        <w:rPr>
          <w:rFonts w:eastAsia="Calibri" w:cs="Times New Roman"/>
          <w:sz w:val="22"/>
          <w:szCs w:val="22"/>
        </w:rPr>
        <w:t xml:space="preserve">: Representa el </w:t>
      </w:r>
      <w:r w:rsidR="001A70C3" w:rsidRPr="005D12C6">
        <w:rPr>
          <w:rFonts w:eastAsia="Calibri" w:cs="Times New Roman"/>
          <w:sz w:val="22"/>
          <w:szCs w:val="22"/>
        </w:rPr>
        <w:t>34</w:t>
      </w:r>
      <w:r w:rsidRPr="005D12C6">
        <w:rPr>
          <w:rFonts w:eastAsia="Calibri" w:cs="Times New Roman"/>
          <w:sz w:val="22"/>
          <w:szCs w:val="22"/>
        </w:rPr>
        <w:t xml:space="preserve">% y agrupa las remuneraciones del </w:t>
      </w:r>
      <w:r w:rsidRPr="005D12C6">
        <w:rPr>
          <w:rFonts w:eastAsia="Calibri" w:cs="Times New Roman"/>
          <w:bCs/>
          <w:sz w:val="22"/>
          <w:szCs w:val="22"/>
        </w:rPr>
        <w:t>personal</w:t>
      </w:r>
      <w:r w:rsidRPr="005D12C6">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37FACA9B" w:rsidR="009627F2" w:rsidRPr="005D12C6" w:rsidRDefault="009627F2" w:rsidP="009627F2">
      <w:pPr>
        <w:spacing w:before="120" w:after="120"/>
        <w:rPr>
          <w:rFonts w:eastAsia="Calibri" w:cs="Times New Roman"/>
          <w:sz w:val="22"/>
          <w:szCs w:val="22"/>
        </w:rPr>
      </w:pPr>
      <w:r w:rsidRPr="005D12C6">
        <w:rPr>
          <w:rFonts w:eastAsia="Calibri" w:cs="Times New Roman"/>
          <w:b/>
          <w:sz w:val="22"/>
          <w:szCs w:val="22"/>
        </w:rPr>
        <w:lastRenderedPageBreak/>
        <w:t>Transferencias, Asignaciones, Subsidios y Otras Ayudas:</w:t>
      </w:r>
      <w:r w:rsidRPr="005D12C6">
        <w:rPr>
          <w:rFonts w:eastAsia="Calibri" w:cs="Times New Roman"/>
          <w:sz w:val="22"/>
          <w:szCs w:val="22"/>
        </w:rPr>
        <w:t xml:space="preserve"> El </w:t>
      </w:r>
      <w:r w:rsidR="00742F6E" w:rsidRPr="005D12C6">
        <w:rPr>
          <w:rFonts w:eastAsia="Calibri" w:cs="Times New Roman"/>
          <w:sz w:val="22"/>
          <w:szCs w:val="22"/>
        </w:rPr>
        <w:t>3</w:t>
      </w:r>
      <w:r w:rsidR="001A70C3" w:rsidRPr="005D12C6">
        <w:rPr>
          <w:rFonts w:eastAsia="Calibri" w:cs="Times New Roman"/>
          <w:sz w:val="22"/>
          <w:szCs w:val="22"/>
        </w:rPr>
        <w:t>7</w:t>
      </w:r>
      <w:r w:rsidRPr="005D12C6">
        <w:rPr>
          <w:rFonts w:eastAsia="Calibri" w:cs="Times New Roman"/>
          <w:sz w:val="22"/>
          <w:szCs w:val="22"/>
        </w:rPr>
        <w:t>% del gasto que se destinó, a los entes públicos contenidos en el Presupuesto de Egresos con el objeto de sufragar gastos inherentes a sus atribuciones.</w:t>
      </w:r>
    </w:p>
    <w:p w14:paraId="21E1C7D6" w14:textId="6503A110" w:rsidR="00A46496" w:rsidRPr="005D12C6" w:rsidRDefault="00A46496" w:rsidP="00A46496">
      <w:pPr>
        <w:spacing w:before="0" w:after="0"/>
        <w:rPr>
          <w:rFonts w:eastAsia="Calibri" w:cs="Times New Roman"/>
          <w:sz w:val="22"/>
          <w:szCs w:val="22"/>
        </w:rPr>
      </w:pPr>
      <w:r w:rsidRPr="005D12C6">
        <w:rPr>
          <w:rFonts w:eastAsia="Calibri" w:cs="Times New Roman"/>
          <w:b/>
          <w:sz w:val="22"/>
          <w:szCs w:val="22"/>
        </w:rPr>
        <w:t>Participaciones y Aportaciones</w:t>
      </w:r>
      <w:r w:rsidRPr="005D12C6">
        <w:rPr>
          <w:rFonts w:eastAsia="Calibri" w:cs="Times New Roman"/>
          <w:sz w:val="22"/>
          <w:szCs w:val="22"/>
        </w:rPr>
        <w:t xml:space="preserve">: Las erogaciones con cargo a </w:t>
      </w:r>
      <w:r w:rsidR="001A70C3" w:rsidRPr="005D12C6">
        <w:rPr>
          <w:rFonts w:eastAsia="Calibri" w:cs="Times New Roman"/>
          <w:sz w:val="22"/>
          <w:szCs w:val="22"/>
        </w:rPr>
        <w:t>este apartado, representan el 20</w:t>
      </w:r>
      <w:r w:rsidRPr="005D12C6">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2D11DA3F" w14:textId="62E5F320" w:rsidR="007856A6" w:rsidRPr="005D12C6" w:rsidRDefault="007856A6" w:rsidP="00B82D70">
      <w:pPr>
        <w:spacing w:before="0" w:after="0"/>
        <w:jc w:val="left"/>
        <w:rPr>
          <w:rFonts w:eastAsia="Calibri" w:cs="Times New Roman"/>
          <w:b/>
        </w:rPr>
      </w:pPr>
    </w:p>
    <w:p w14:paraId="5E7A5135" w14:textId="3A131020" w:rsidR="00B82D70" w:rsidRPr="005D12C6" w:rsidRDefault="0070010C" w:rsidP="00B82D70">
      <w:pPr>
        <w:spacing w:before="0" w:after="0"/>
        <w:jc w:val="left"/>
        <w:rPr>
          <w:rFonts w:eastAsia="Calibri" w:cs="Times New Roman"/>
          <w:b/>
        </w:rPr>
      </w:pPr>
      <w:r w:rsidRPr="005D12C6">
        <w:rPr>
          <w:rFonts w:eastAsia="Calibri" w:cs="Times New Roman"/>
          <w:b/>
        </w:rPr>
        <w:t>I</w:t>
      </w:r>
      <w:r w:rsidR="009627F2" w:rsidRPr="005D12C6">
        <w:rPr>
          <w:rFonts w:eastAsia="Calibri" w:cs="Times New Roman"/>
          <w:b/>
        </w:rPr>
        <w:t>I</w:t>
      </w:r>
      <w:r w:rsidRPr="005D12C6">
        <w:rPr>
          <w:rFonts w:eastAsia="Calibri" w:cs="Times New Roman"/>
          <w:b/>
        </w:rPr>
        <w:t xml:space="preserve">). </w:t>
      </w:r>
      <w:r w:rsidR="00B82D70" w:rsidRPr="005D12C6">
        <w:rPr>
          <w:rFonts w:eastAsia="Calibri" w:cs="Times New Roman"/>
          <w:b/>
        </w:rPr>
        <w:t>NOTAS AL ESTADO DE SITUACIÓN FINANCIERA</w:t>
      </w:r>
    </w:p>
    <w:p w14:paraId="2F44D398" w14:textId="77777777" w:rsidR="003A282E" w:rsidRPr="005D12C6" w:rsidRDefault="003A282E" w:rsidP="00B82D70">
      <w:pPr>
        <w:spacing w:before="0" w:after="0"/>
        <w:jc w:val="left"/>
        <w:rPr>
          <w:rFonts w:eastAsia="Calibri" w:cs="Times New Roman"/>
          <w:b/>
        </w:rPr>
      </w:pPr>
    </w:p>
    <w:p w14:paraId="7403D1F7" w14:textId="56109A73" w:rsidR="00B82D70" w:rsidRPr="005D12C6" w:rsidRDefault="00B82D70" w:rsidP="00B82D70">
      <w:pPr>
        <w:spacing w:before="0" w:after="0"/>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 xml:space="preserve">ACTIVO </w:t>
      </w:r>
    </w:p>
    <w:p w14:paraId="7E763BB1" w14:textId="77777777" w:rsidR="003A282E" w:rsidRPr="005D12C6" w:rsidRDefault="003A282E" w:rsidP="00B82D70">
      <w:pPr>
        <w:spacing w:before="0" w:after="0"/>
        <w:rPr>
          <w:rFonts w:eastAsia="Times New Roman" w:cs="Times New Roman"/>
          <w:b/>
          <w:color w:val="000000"/>
          <w:sz w:val="22"/>
          <w:szCs w:val="22"/>
          <w:lang w:eastAsia="es-MX"/>
        </w:rPr>
      </w:pPr>
    </w:p>
    <w:p w14:paraId="5EECF50C" w14:textId="0241E772" w:rsidR="00312609" w:rsidRPr="005D12C6" w:rsidRDefault="00B82D70" w:rsidP="00CF7E8D">
      <w:pPr>
        <w:spacing w:before="0" w:after="0"/>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1.- EFECTIVO Y EQUIVALENTES</w:t>
      </w:r>
    </w:p>
    <w:p w14:paraId="18DCEE76" w14:textId="77777777" w:rsidR="003A282E" w:rsidRPr="005D12C6" w:rsidRDefault="003A282E" w:rsidP="00CF7E8D">
      <w:pPr>
        <w:spacing w:before="0" w:after="0"/>
        <w:rPr>
          <w:rFonts w:eastAsia="Times New Roman" w:cs="Times New Roman"/>
          <w:color w:val="000000"/>
          <w:sz w:val="22"/>
          <w:szCs w:val="22"/>
          <w:lang w:eastAsia="es-MX"/>
        </w:rPr>
      </w:pPr>
    </w:p>
    <w:p w14:paraId="728EB457" w14:textId="6B122B8E" w:rsidR="00B82D70" w:rsidRPr="005D12C6" w:rsidRDefault="00B82D70" w:rsidP="00CF7E8D">
      <w:pPr>
        <w:spacing w:before="0" w:after="0"/>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El saldo de </w:t>
      </w:r>
      <w:r w:rsidR="001A70C3" w:rsidRPr="005D12C6">
        <w:rPr>
          <w:rFonts w:eastAsia="Times New Roman" w:cs="Times New Roman"/>
          <w:color w:val="000000"/>
          <w:sz w:val="22"/>
          <w:szCs w:val="22"/>
          <w:lang w:eastAsia="es-MX"/>
        </w:rPr>
        <w:t>6</w:t>
      </w:r>
      <w:r w:rsidRPr="005D12C6">
        <w:rPr>
          <w:rFonts w:eastAsia="Times New Roman" w:cs="Times New Roman"/>
          <w:color w:val="000000"/>
          <w:sz w:val="22"/>
          <w:szCs w:val="22"/>
          <w:lang w:eastAsia="es-MX"/>
        </w:rPr>
        <w:t xml:space="preserve"> mil </w:t>
      </w:r>
      <w:r w:rsidR="001A70C3" w:rsidRPr="005D12C6">
        <w:rPr>
          <w:rFonts w:eastAsia="Times New Roman" w:cs="Times New Roman"/>
          <w:color w:val="000000"/>
          <w:sz w:val="22"/>
          <w:szCs w:val="22"/>
          <w:lang w:eastAsia="es-MX"/>
        </w:rPr>
        <w:t>399</w:t>
      </w:r>
      <w:r w:rsidRPr="005D12C6">
        <w:rPr>
          <w:rFonts w:eastAsia="Times New Roman" w:cs="Times New Roman"/>
          <w:color w:val="000000"/>
          <w:sz w:val="22"/>
          <w:szCs w:val="22"/>
          <w:lang w:eastAsia="es-MX"/>
        </w:rPr>
        <w:t xml:space="preserve"> millones </w:t>
      </w:r>
      <w:r w:rsidR="001A70C3" w:rsidRPr="005D12C6">
        <w:rPr>
          <w:rFonts w:eastAsia="Times New Roman" w:cs="Times New Roman"/>
          <w:color w:val="000000"/>
          <w:sz w:val="22"/>
          <w:szCs w:val="22"/>
          <w:lang w:eastAsia="es-MX"/>
        </w:rPr>
        <w:t>42</w:t>
      </w:r>
      <w:r w:rsidRPr="005D12C6">
        <w:rPr>
          <w:rFonts w:eastAsia="Times New Roman" w:cs="Times New Roman"/>
          <w:color w:val="000000"/>
          <w:sz w:val="22"/>
          <w:szCs w:val="22"/>
          <w:lang w:eastAsia="es-MX"/>
        </w:rPr>
        <w:t xml:space="preserve"> mil </w:t>
      </w:r>
      <w:r w:rsidR="001A70C3" w:rsidRPr="005D12C6">
        <w:rPr>
          <w:rFonts w:eastAsia="Times New Roman" w:cs="Times New Roman"/>
          <w:color w:val="000000"/>
          <w:sz w:val="22"/>
          <w:szCs w:val="22"/>
          <w:lang w:eastAsia="es-MX"/>
        </w:rPr>
        <w:t>913</w:t>
      </w:r>
      <w:r w:rsidRPr="005D12C6">
        <w:rPr>
          <w:rFonts w:eastAsia="Times New Roman" w:cs="Times New Roman"/>
          <w:color w:val="000000"/>
          <w:sz w:val="22"/>
          <w:szCs w:val="22"/>
          <w:lang w:eastAsia="es-MX"/>
        </w:rPr>
        <w:t xml:space="preserve"> pesos</w:t>
      </w:r>
      <w:r w:rsidR="00120F97" w:rsidRPr="005D12C6">
        <w:rPr>
          <w:rFonts w:eastAsia="Times New Roman" w:cs="Times New Roman"/>
          <w:color w:val="000000"/>
          <w:sz w:val="22"/>
          <w:szCs w:val="22"/>
          <w:lang w:eastAsia="es-MX"/>
        </w:rPr>
        <w:t xml:space="preserve"> 22 centavos</w:t>
      </w:r>
      <w:r w:rsidRPr="005D12C6">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sidRPr="005D12C6">
        <w:rPr>
          <w:rFonts w:eastAsia="Times New Roman" w:cs="Times New Roman"/>
          <w:color w:val="000000"/>
          <w:sz w:val="22"/>
          <w:szCs w:val="22"/>
          <w:lang w:eastAsia="es-MX"/>
        </w:rPr>
        <w:t>h</w:t>
      </w:r>
      <w:r w:rsidRPr="005D12C6">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Cuotas y Aportaciones Patronales. </w:t>
      </w:r>
    </w:p>
    <w:p w14:paraId="705CDF87" w14:textId="77777777" w:rsidR="003A282E" w:rsidRPr="005D12C6" w:rsidRDefault="003A282E" w:rsidP="00CF7E8D">
      <w:pPr>
        <w:spacing w:before="0" w:after="0"/>
        <w:rPr>
          <w:rFonts w:eastAsia="Times New Roman" w:cs="Times New Roman"/>
          <w:color w:val="000000"/>
          <w:sz w:val="22"/>
          <w:szCs w:val="22"/>
          <w:lang w:eastAsia="es-MX"/>
        </w:rPr>
      </w:pPr>
    </w:p>
    <w:p w14:paraId="631CFCFC" w14:textId="27D9F19E" w:rsidR="00312609" w:rsidRPr="005D12C6" w:rsidRDefault="00B82D70" w:rsidP="00B82D70">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Su integración detallada es la siguiente:</w:t>
      </w:r>
    </w:p>
    <w:p w14:paraId="2EC5202A" w14:textId="52DC40D7" w:rsidR="001C365F" w:rsidRPr="005D12C6" w:rsidRDefault="001A70C3" w:rsidP="00B82D70">
      <w:pPr>
        <w:widowControl w:val="0"/>
        <w:kinsoku w:val="0"/>
        <w:spacing w:before="0" w:after="0"/>
        <w:contextualSpacing/>
        <w:rPr>
          <w:rFonts w:eastAsia="Times New Roman" w:cs="Times New Roman"/>
          <w:color w:val="000000"/>
          <w:sz w:val="22"/>
          <w:szCs w:val="22"/>
          <w:lang w:eastAsia="es-MX"/>
        </w:rPr>
      </w:pPr>
      <w:r w:rsidRPr="005D12C6">
        <w:rPr>
          <w:noProof/>
          <w:lang w:val="es-MX" w:eastAsia="es-MX"/>
        </w:rPr>
        <w:drawing>
          <wp:inline distT="0" distB="0" distL="0" distR="0" wp14:anchorId="281B6ABF" wp14:editId="3C4ED659">
            <wp:extent cx="6351270" cy="795307"/>
            <wp:effectExtent l="0" t="0" r="0" b="5080"/>
            <wp:docPr id="74557978" name="Imagen 7455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95307"/>
                    </a:xfrm>
                    <a:prstGeom prst="rect">
                      <a:avLst/>
                    </a:prstGeom>
                    <a:noFill/>
                    <a:ln>
                      <a:noFill/>
                    </a:ln>
                  </pic:spPr>
                </pic:pic>
              </a:graphicData>
            </a:graphic>
          </wp:inline>
        </w:drawing>
      </w:r>
    </w:p>
    <w:p w14:paraId="35F83F98" w14:textId="77777777" w:rsidR="003A282E" w:rsidRPr="005D12C6" w:rsidRDefault="003A282E" w:rsidP="001C365F">
      <w:pPr>
        <w:widowControl w:val="0"/>
        <w:kinsoku w:val="0"/>
        <w:spacing w:before="0" w:after="0"/>
        <w:contextualSpacing/>
        <w:rPr>
          <w:rFonts w:eastAsia="Times New Roman" w:cs="Times New Roman"/>
          <w:color w:val="000000"/>
          <w:sz w:val="22"/>
          <w:szCs w:val="22"/>
          <w:lang w:eastAsia="es-MX"/>
        </w:rPr>
      </w:pPr>
    </w:p>
    <w:p w14:paraId="0603959C" w14:textId="3AF6B333" w:rsidR="00B82D70" w:rsidRPr="005D12C6" w:rsidRDefault="00F62709" w:rsidP="001C365F">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Se presenta </w:t>
      </w:r>
      <w:r w:rsidR="00F852D1" w:rsidRPr="005D12C6">
        <w:rPr>
          <w:rFonts w:eastAsia="Times New Roman" w:cs="Times New Roman"/>
          <w:color w:val="000000"/>
          <w:sz w:val="22"/>
          <w:szCs w:val="22"/>
          <w:lang w:eastAsia="es-MX"/>
        </w:rPr>
        <w:t>aumento</w:t>
      </w:r>
      <w:r w:rsidRPr="005D12C6">
        <w:rPr>
          <w:rFonts w:eastAsia="Times New Roman" w:cs="Times New Roman"/>
          <w:color w:val="000000"/>
          <w:sz w:val="22"/>
          <w:szCs w:val="22"/>
          <w:lang w:eastAsia="es-MX"/>
        </w:rPr>
        <w:t xml:space="preserve"> del </w:t>
      </w:r>
      <w:r w:rsidR="00BF3F87" w:rsidRPr="005D12C6">
        <w:rPr>
          <w:rFonts w:eastAsia="Times New Roman" w:cs="Times New Roman"/>
          <w:color w:val="000000"/>
          <w:sz w:val="22"/>
          <w:szCs w:val="22"/>
          <w:lang w:eastAsia="es-MX"/>
        </w:rPr>
        <w:t>9.17</w:t>
      </w:r>
      <w:r w:rsidR="00F91988" w:rsidRPr="005D12C6">
        <w:rPr>
          <w:rFonts w:eastAsia="Times New Roman" w:cs="Times New Roman"/>
          <w:color w:val="000000"/>
          <w:sz w:val="22"/>
          <w:szCs w:val="22"/>
          <w:lang w:eastAsia="es-MX"/>
        </w:rPr>
        <w:t>%,</w:t>
      </w:r>
      <w:r w:rsidR="008F42E7" w:rsidRPr="005D12C6">
        <w:rPr>
          <w:rFonts w:eastAsia="Times New Roman" w:cs="Times New Roman"/>
          <w:color w:val="000000"/>
          <w:sz w:val="22"/>
          <w:szCs w:val="22"/>
          <w:lang w:eastAsia="es-MX"/>
        </w:rPr>
        <w:t xml:space="preserve"> respecto del mismo periodo del ejercicio anterior</w:t>
      </w:r>
      <w:r w:rsidRPr="005D12C6">
        <w:rPr>
          <w:rFonts w:eastAsia="Times New Roman" w:cs="Times New Roman"/>
          <w:color w:val="000000"/>
          <w:sz w:val="22"/>
          <w:szCs w:val="22"/>
          <w:lang w:eastAsia="es-MX"/>
        </w:rPr>
        <w:t xml:space="preserve"> en el rubro de efectivo y equivalentes derivado principalmente de los saldos en las cuentas de Bancos</w:t>
      </w:r>
      <w:r w:rsidR="004E01E5" w:rsidRPr="005D12C6">
        <w:rPr>
          <w:rFonts w:eastAsia="Times New Roman" w:cs="Times New Roman"/>
          <w:color w:val="000000"/>
          <w:sz w:val="22"/>
          <w:szCs w:val="22"/>
          <w:lang w:eastAsia="es-MX"/>
        </w:rPr>
        <w:t xml:space="preserve"> y de los fondos con afectaciones específicas</w:t>
      </w:r>
      <w:r w:rsidR="00523FC0" w:rsidRPr="005D12C6">
        <w:rPr>
          <w:rFonts w:eastAsia="Times New Roman" w:cs="Times New Roman"/>
          <w:color w:val="000000"/>
          <w:sz w:val="22"/>
          <w:szCs w:val="22"/>
          <w:lang w:eastAsia="es-MX"/>
        </w:rPr>
        <w:t>.</w:t>
      </w:r>
    </w:p>
    <w:p w14:paraId="0FAC864F" w14:textId="77777777" w:rsidR="003A282E" w:rsidRPr="005D12C6" w:rsidRDefault="003A282E" w:rsidP="001C365F">
      <w:pPr>
        <w:widowControl w:val="0"/>
        <w:kinsoku w:val="0"/>
        <w:spacing w:before="0" w:after="0"/>
        <w:contextualSpacing/>
        <w:rPr>
          <w:rFonts w:eastAsia="Times New Roman" w:cs="Times New Roman"/>
          <w:color w:val="000000"/>
          <w:sz w:val="22"/>
          <w:szCs w:val="22"/>
          <w:lang w:eastAsia="es-MX"/>
        </w:rPr>
      </w:pPr>
    </w:p>
    <w:p w14:paraId="538DA796" w14:textId="41016052" w:rsidR="00266E75" w:rsidRPr="005D12C6" w:rsidRDefault="00266E75" w:rsidP="001C365F">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lastRenderedPageBreak/>
        <w:t>En este sentido, se destacan las cuentas bancarias de fondos específicos por convenios o fondos federales</w:t>
      </w:r>
      <w:r w:rsidR="00D31118" w:rsidRPr="005D12C6">
        <w:rPr>
          <w:rFonts w:eastAsia="Times New Roman" w:cs="Times New Roman"/>
          <w:color w:val="000000"/>
          <w:sz w:val="22"/>
          <w:szCs w:val="22"/>
          <w:lang w:eastAsia="es-MX"/>
        </w:rPr>
        <w:t xml:space="preserve">, </w:t>
      </w:r>
      <w:r w:rsidR="009960BD" w:rsidRPr="005D12C6">
        <w:rPr>
          <w:rFonts w:eastAsia="Times New Roman" w:cs="Times New Roman"/>
          <w:color w:val="000000"/>
          <w:sz w:val="22"/>
          <w:szCs w:val="22"/>
          <w:lang w:eastAsia="es-MX"/>
        </w:rPr>
        <w:t>vigentes en el</w:t>
      </w:r>
      <w:r w:rsidR="00D31118" w:rsidRPr="005D12C6">
        <w:rPr>
          <w:rFonts w:eastAsia="Times New Roman" w:cs="Times New Roman"/>
          <w:color w:val="000000"/>
          <w:sz w:val="22"/>
          <w:szCs w:val="22"/>
          <w:lang w:eastAsia="es-MX"/>
        </w:rPr>
        <w:t xml:space="preserve"> ejercicio 202</w:t>
      </w:r>
      <w:r w:rsidR="004745CF" w:rsidRPr="005D12C6">
        <w:rPr>
          <w:rFonts w:eastAsia="Times New Roman" w:cs="Times New Roman"/>
          <w:color w:val="000000"/>
          <w:sz w:val="22"/>
          <w:szCs w:val="22"/>
          <w:lang w:eastAsia="es-MX"/>
        </w:rPr>
        <w:t>4</w:t>
      </w:r>
      <w:r w:rsidRPr="005D12C6">
        <w:rPr>
          <w:rFonts w:eastAsia="Times New Roman" w:cs="Times New Roman"/>
          <w:color w:val="000000"/>
          <w:sz w:val="22"/>
          <w:szCs w:val="22"/>
          <w:lang w:eastAsia="es-MX"/>
        </w:rPr>
        <w:t xml:space="preserve">, </w:t>
      </w:r>
      <w:r w:rsidR="00F43C1F" w:rsidRPr="005D12C6">
        <w:rPr>
          <w:rFonts w:eastAsia="Times New Roman" w:cs="Times New Roman"/>
          <w:color w:val="000000"/>
          <w:sz w:val="22"/>
          <w:szCs w:val="22"/>
          <w:lang w:eastAsia="es-MX"/>
        </w:rPr>
        <w:t>con los siguientes saldos</w:t>
      </w:r>
      <w:r w:rsidRPr="005D12C6">
        <w:rPr>
          <w:rFonts w:eastAsia="Times New Roman" w:cs="Times New Roman"/>
          <w:color w:val="000000"/>
          <w:sz w:val="22"/>
          <w:szCs w:val="22"/>
          <w:lang w:eastAsia="es-MX"/>
        </w:rPr>
        <w:t>:</w:t>
      </w:r>
    </w:p>
    <w:p w14:paraId="7AF3BD67" w14:textId="77777777" w:rsidR="007E1CED" w:rsidRPr="005D12C6" w:rsidRDefault="007E1CED" w:rsidP="001C365F">
      <w:pPr>
        <w:widowControl w:val="0"/>
        <w:kinsoku w:val="0"/>
        <w:spacing w:before="0" w:after="0"/>
        <w:contextualSpacing/>
        <w:rPr>
          <w:rFonts w:eastAsia="Times New Roman" w:cs="Times New Roman"/>
          <w:color w:val="000000"/>
          <w:sz w:val="22"/>
          <w:szCs w:val="22"/>
          <w:lang w:eastAsia="es-MX"/>
        </w:rPr>
      </w:pPr>
    </w:p>
    <w:p w14:paraId="73B60A02" w14:textId="264A4577" w:rsidR="007E1CED" w:rsidRPr="005D12C6" w:rsidRDefault="00F43C1F" w:rsidP="001C365F">
      <w:pPr>
        <w:widowControl w:val="0"/>
        <w:kinsoku w:val="0"/>
        <w:spacing w:before="0" w:after="0"/>
        <w:contextualSpacing/>
        <w:rPr>
          <w:rFonts w:eastAsia="Times New Roman" w:cs="Times New Roman"/>
          <w:color w:val="000000"/>
          <w:sz w:val="22"/>
          <w:szCs w:val="22"/>
          <w:lang w:eastAsia="es-MX"/>
        </w:rPr>
      </w:pPr>
      <w:r w:rsidRPr="005D12C6">
        <w:rPr>
          <w:noProof/>
          <w:lang w:val="es-MX" w:eastAsia="es-MX"/>
        </w:rPr>
        <w:drawing>
          <wp:inline distT="0" distB="0" distL="0" distR="0" wp14:anchorId="00AA442E" wp14:editId="6D1FA774">
            <wp:extent cx="6351270" cy="682018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6820183"/>
                    </a:xfrm>
                    <a:prstGeom prst="rect">
                      <a:avLst/>
                    </a:prstGeom>
                    <a:noFill/>
                    <a:ln>
                      <a:noFill/>
                    </a:ln>
                  </pic:spPr>
                </pic:pic>
              </a:graphicData>
            </a:graphic>
          </wp:inline>
        </w:drawing>
      </w:r>
    </w:p>
    <w:p w14:paraId="1BD0246A" w14:textId="6CD90892" w:rsidR="004B029E" w:rsidRPr="005D12C6" w:rsidRDefault="004B029E" w:rsidP="004B029E">
      <w:pPr>
        <w:widowControl w:val="0"/>
        <w:kinsoku w:val="0"/>
        <w:spacing w:before="0" w:after="0"/>
        <w:contextualSpacing/>
        <w:jc w:val="center"/>
        <w:rPr>
          <w:rFonts w:eastAsia="Times New Roman" w:cs="Times New Roman"/>
          <w:color w:val="000000"/>
          <w:sz w:val="22"/>
          <w:szCs w:val="22"/>
          <w:lang w:eastAsia="es-MX"/>
        </w:rPr>
      </w:pPr>
    </w:p>
    <w:p w14:paraId="30F64FAD" w14:textId="6709A98E" w:rsidR="00266E75" w:rsidRPr="005D12C6" w:rsidRDefault="00266E75" w:rsidP="001C365F">
      <w:pPr>
        <w:widowControl w:val="0"/>
        <w:kinsoku w:val="0"/>
        <w:spacing w:before="0" w:after="0"/>
        <w:contextualSpacing/>
        <w:rPr>
          <w:rFonts w:eastAsia="Times New Roman" w:cs="Times New Roman"/>
          <w:color w:val="000000"/>
          <w:sz w:val="22"/>
          <w:szCs w:val="22"/>
          <w:lang w:eastAsia="es-MX"/>
        </w:rPr>
      </w:pPr>
    </w:p>
    <w:p w14:paraId="7986FE63" w14:textId="669BA564" w:rsidR="00321041" w:rsidRPr="005D12C6" w:rsidRDefault="00EA54ED" w:rsidP="001C365F">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lastRenderedPageBreak/>
        <w:t>De las Inversiones a corto plazo se revelan por su tipo y monto en el siguiente cuadro:</w:t>
      </w:r>
    </w:p>
    <w:p w14:paraId="39ABDB71" w14:textId="5BEC49ED" w:rsidR="00EA54ED" w:rsidRPr="005D12C6" w:rsidRDefault="004F1CE0" w:rsidP="004F1CE0">
      <w:pPr>
        <w:widowControl w:val="0"/>
        <w:kinsoku w:val="0"/>
        <w:spacing w:before="0" w:after="0"/>
        <w:contextualSpacing/>
        <w:jc w:val="center"/>
        <w:rPr>
          <w:rFonts w:eastAsia="Times New Roman" w:cs="Times New Roman"/>
          <w:color w:val="000000"/>
          <w:sz w:val="22"/>
          <w:szCs w:val="22"/>
          <w:lang w:eastAsia="es-MX"/>
        </w:rPr>
      </w:pPr>
      <w:r w:rsidRPr="005D12C6">
        <w:rPr>
          <w:noProof/>
          <w:lang w:val="es-MX" w:eastAsia="es-MX"/>
        </w:rPr>
        <w:drawing>
          <wp:inline distT="0" distB="0" distL="0" distR="0" wp14:anchorId="7D6B3AED" wp14:editId="041164DE">
            <wp:extent cx="4210050" cy="134259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4145" cy="1356661"/>
                    </a:xfrm>
                    <a:prstGeom prst="rect">
                      <a:avLst/>
                    </a:prstGeom>
                    <a:noFill/>
                    <a:ln>
                      <a:noFill/>
                    </a:ln>
                  </pic:spPr>
                </pic:pic>
              </a:graphicData>
            </a:graphic>
          </wp:inline>
        </w:drawing>
      </w:r>
    </w:p>
    <w:p w14:paraId="4F141F68" w14:textId="77777777" w:rsidR="004F1CE0" w:rsidRPr="005D12C6" w:rsidRDefault="004F1CE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5D12C6" w:rsidRDefault="00B82D70" w:rsidP="00B82D70">
      <w:pPr>
        <w:spacing w:before="0" w:after="0"/>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DERECHOS A RECIBIR EFECTIVO O EQUIVALENTES</w:t>
      </w:r>
    </w:p>
    <w:p w14:paraId="413A8601" w14:textId="77777777" w:rsidR="00FE5E5E" w:rsidRPr="005D12C6"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Pr="005D12C6" w:rsidRDefault="0023083B" w:rsidP="00B82D70">
      <w:pPr>
        <w:spacing w:before="0" w:after="0"/>
        <w:rPr>
          <w:rFonts w:eastAsia="Times New Roman" w:cs="Times New Roman"/>
          <w:b/>
          <w:bCs/>
          <w:color w:val="000000"/>
          <w:sz w:val="22"/>
          <w:szCs w:val="22"/>
          <w:lang w:eastAsia="es-MX"/>
        </w:rPr>
      </w:pPr>
      <w:r w:rsidRPr="005D12C6">
        <w:rPr>
          <w:rFonts w:eastAsia="Times New Roman" w:cs="Times New Roman"/>
          <w:b/>
          <w:bCs/>
          <w:color w:val="000000"/>
          <w:sz w:val="22"/>
          <w:szCs w:val="22"/>
          <w:lang w:eastAsia="es-MX"/>
        </w:rPr>
        <w:t>2. CUENTAS PENDIENTES DE COBRO</w:t>
      </w:r>
    </w:p>
    <w:p w14:paraId="7D33A0F0" w14:textId="77777777" w:rsidR="00FE5E5E" w:rsidRPr="005D12C6" w:rsidRDefault="00FE5E5E" w:rsidP="00B82D70">
      <w:pPr>
        <w:spacing w:before="0" w:after="0"/>
        <w:rPr>
          <w:rFonts w:eastAsia="Times New Roman" w:cs="Times New Roman"/>
          <w:b/>
          <w:bCs/>
          <w:color w:val="000000"/>
          <w:sz w:val="22"/>
          <w:szCs w:val="22"/>
          <w:lang w:eastAsia="es-MX"/>
        </w:rPr>
      </w:pPr>
    </w:p>
    <w:p w14:paraId="0794EEE7" w14:textId="1FEF966E" w:rsidR="0023083B" w:rsidRPr="005D12C6" w:rsidRDefault="00E7156D" w:rsidP="00B82D70">
      <w:pPr>
        <w:spacing w:before="0" w:after="0"/>
        <w:rPr>
          <w:rFonts w:eastAsia="Times New Roman" w:cs="Times New Roman"/>
          <w:color w:val="000000"/>
          <w:sz w:val="22"/>
          <w:szCs w:val="22"/>
          <w:lang w:eastAsia="es-MX"/>
        </w:rPr>
      </w:pPr>
      <w:r w:rsidRPr="005D12C6">
        <w:rPr>
          <w:rFonts w:eastAsia="Times New Roman" w:cs="Times New Roman"/>
          <w:color w:val="000000"/>
          <w:sz w:val="22"/>
          <w:szCs w:val="22"/>
          <w:lang w:eastAsia="es-MX"/>
        </w:rPr>
        <w:t>El rubro de cuentas por cobrar se encuentra en proceso de depuración, sin e</w:t>
      </w:r>
      <w:r w:rsidR="00F43C1F" w:rsidRPr="005D12C6">
        <w:rPr>
          <w:rFonts w:eastAsia="Times New Roman" w:cs="Times New Roman"/>
          <w:color w:val="000000"/>
          <w:sz w:val="22"/>
          <w:szCs w:val="22"/>
          <w:lang w:eastAsia="es-MX"/>
        </w:rPr>
        <w:t>mbargo, se destacan los montos</w:t>
      </w:r>
      <w:r w:rsidRPr="005D12C6">
        <w:rPr>
          <w:rFonts w:eastAsia="Times New Roman" w:cs="Times New Roman"/>
          <w:color w:val="000000"/>
          <w:sz w:val="22"/>
          <w:szCs w:val="22"/>
          <w:lang w:eastAsia="es-MX"/>
        </w:rPr>
        <w:t xml:space="preserve"> de los procesos judiciales de cobro y por responsabilidades administrativas.</w:t>
      </w:r>
    </w:p>
    <w:p w14:paraId="0D6805D6" w14:textId="42382C9A" w:rsidR="00E71FFE" w:rsidRPr="005D12C6" w:rsidRDefault="009960BD" w:rsidP="00AC0860">
      <w:pPr>
        <w:spacing w:before="0" w:after="0"/>
        <w:jc w:val="center"/>
        <w:rPr>
          <w:rFonts w:eastAsia="Times New Roman" w:cs="Times New Roman"/>
          <w:color w:val="000000"/>
          <w:sz w:val="22"/>
          <w:szCs w:val="22"/>
          <w:lang w:eastAsia="es-MX"/>
        </w:rPr>
      </w:pPr>
      <w:r w:rsidRPr="005D12C6">
        <w:rPr>
          <w:noProof/>
          <w:lang w:val="es-MX" w:eastAsia="es-MX"/>
        </w:rPr>
        <w:drawing>
          <wp:inline distT="0" distB="0" distL="0" distR="0" wp14:anchorId="76FB234B" wp14:editId="7DA1C60F">
            <wp:extent cx="2095500" cy="1466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inline>
        </w:drawing>
      </w:r>
    </w:p>
    <w:p w14:paraId="3CE15AA3" w14:textId="4B42E682" w:rsidR="00B931C8" w:rsidRPr="005D12C6" w:rsidRDefault="00B931C8" w:rsidP="00AC0860">
      <w:pPr>
        <w:spacing w:before="0" w:after="0"/>
        <w:jc w:val="center"/>
        <w:rPr>
          <w:rFonts w:eastAsia="Times New Roman" w:cs="Times New Roman"/>
          <w:color w:val="000000"/>
          <w:sz w:val="22"/>
          <w:szCs w:val="22"/>
          <w:lang w:eastAsia="es-MX"/>
        </w:rPr>
      </w:pPr>
    </w:p>
    <w:p w14:paraId="2CBF6864" w14:textId="36D57C41" w:rsidR="00B82D70" w:rsidRPr="005D12C6" w:rsidRDefault="0023083B" w:rsidP="00B82D70">
      <w:pPr>
        <w:spacing w:before="0" w:after="0"/>
        <w:rPr>
          <w:rFonts w:eastAsia="Times New Roman" w:cs="Times New Roman"/>
          <w:b/>
          <w:bCs/>
          <w:color w:val="000000"/>
          <w:sz w:val="22"/>
          <w:szCs w:val="22"/>
          <w:lang w:eastAsia="es-MX"/>
        </w:rPr>
      </w:pPr>
      <w:r w:rsidRPr="005D12C6">
        <w:rPr>
          <w:rFonts w:eastAsia="Times New Roman" w:cs="Times New Roman"/>
          <w:b/>
          <w:bCs/>
          <w:color w:val="000000"/>
          <w:sz w:val="22"/>
          <w:szCs w:val="22"/>
          <w:lang w:eastAsia="es-MX"/>
        </w:rPr>
        <w:t>3</w:t>
      </w:r>
      <w:r w:rsidR="00605B6D" w:rsidRPr="005D12C6">
        <w:rPr>
          <w:rFonts w:eastAsia="Times New Roman" w:cs="Times New Roman"/>
          <w:b/>
          <w:bCs/>
          <w:color w:val="000000"/>
          <w:sz w:val="22"/>
          <w:szCs w:val="22"/>
          <w:lang w:eastAsia="es-MX"/>
        </w:rPr>
        <w:t>. POR TIPO DE CONTRIBUCIÓN</w:t>
      </w:r>
    </w:p>
    <w:p w14:paraId="08713693" w14:textId="304568CA" w:rsidR="00C44740" w:rsidRPr="005D12C6" w:rsidRDefault="00B82D70" w:rsidP="00987B30">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El saldo del rubro al </w:t>
      </w:r>
      <w:r w:rsidR="00053575" w:rsidRPr="005D12C6">
        <w:rPr>
          <w:rFonts w:eastAsia="Times New Roman" w:cs="Times New Roman"/>
          <w:color w:val="000000"/>
          <w:sz w:val="22"/>
          <w:szCs w:val="22"/>
          <w:lang w:eastAsia="es-MX"/>
        </w:rPr>
        <w:t>3</w:t>
      </w:r>
      <w:r w:rsidR="00A80829" w:rsidRPr="005D12C6">
        <w:rPr>
          <w:rFonts w:eastAsia="Times New Roman" w:cs="Times New Roman"/>
          <w:color w:val="000000"/>
          <w:sz w:val="22"/>
          <w:szCs w:val="22"/>
          <w:lang w:eastAsia="es-MX"/>
        </w:rPr>
        <w:t>0</w:t>
      </w:r>
      <w:r w:rsidR="00053575" w:rsidRPr="005D12C6">
        <w:rPr>
          <w:rFonts w:eastAsia="Times New Roman" w:cs="Times New Roman"/>
          <w:color w:val="000000"/>
          <w:sz w:val="22"/>
          <w:szCs w:val="22"/>
          <w:lang w:eastAsia="es-MX"/>
        </w:rPr>
        <w:t xml:space="preserve"> de </w:t>
      </w:r>
      <w:r w:rsidR="009B6FBE" w:rsidRPr="005D12C6">
        <w:rPr>
          <w:rFonts w:eastAsia="Calibri" w:cs="Times New Roman"/>
          <w:sz w:val="22"/>
          <w:szCs w:val="22"/>
        </w:rPr>
        <w:t>junio</w:t>
      </w:r>
      <w:r w:rsidR="003C1B12" w:rsidRPr="005D12C6">
        <w:rPr>
          <w:rFonts w:eastAsia="Times New Roman" w:cs="Times New Roman"/>
          <w:color w:val="000000"/>
          <w:sz w:val="22"/>
          <w:szCs w:val="22"/>
          <w:lang w:eastAsia="es-MX"/>
        </w:rPr>
        <w:t xml:space="preserve"> </w:t>
      </w:r>
      <w:r w:rsidRPr="005D12C6">
        <w:rPr>
          <w:rFonts w:eastAsia="Times New Roman" w:cs="Times New Roman"/>
          <w:color w:val="000000"/>
          <w:sz w:val="22"/>
          <w:szCs w:val="22"/>
          <w:lang w:eastAsia="es-MX"/>
        </w:rPr>
        <w:t>de 202</w:t>
      </w:r>
      <w:r w:rsidR="004745CF" w:rsidRPr="005D12C6">
        <w:rPr>
          <w:rFonts w:eastAsia="Times New Roman" w:cs="Times New Roman"/>
          <w:color w:val="000000"/>
          <w:sz w:val="22"/>
          <w:szCs w:val="22"/>
          <w:lang w:eastAsia="es-MX"/>
        </w:rPr>
        <w:t>4</w:t>
      </w:r>
      <w:r w:rsidRPr="005D12C6">
        <w:rPr>
          <w:rFonts w:eastAsia="Times New Roman" w:cs="Times New Roman"/>
          <w:color w:val="000000"/>
          <w:sz w:val="22"/>
          <w:szCs w:val="22"/>
          <w:lang w:eastAsia="es-MX"/>
        </w:rPr>
        <w:t xml:space="preserve">, por </w:t>
      </w:r>
      <w:r w:rsidR="00BF3F87" w:rsidRPr="005D12C6">
        <w:rPr>
          <w:rFonts w:eastAsia="Times New Roman" w:cs="Times New Roman"/>
          <w:color w:val="000000"/>
          <w:sz w:val="22"/>
          <w:szCs w:val="22"/>
          <w:lang w:eastAsia="es-MX"/>
        </w:rPr>
        <w:t>1</w:t>
      </w:r>
      <w:r w:rsidR="002F7EA8" w:rsidRPr="005D12C6">
        <w:rPr>
          <w:rFonts w:eastAsia="Times New Roman" w:cs="Times New Roman"/>
          <w:color w:val="000000"/>
          <w:sz w:val="22"/>
          <w:szCs w:val="22"/>
          <w:lang w:eastAsia="es-MX"/>
        </w:rPr>
        <w:t xml:space="preserve"> mil </w:t>
      </w:r>
      <w:r w:rsidR="00BF3F87" w:rsidRPr="005D12C6">
        <w:rPr>
          <w:rFonts w:eastAsia="Times New Roman" w:cs="Times New Roman"/>
          <w:color w:val="000000"/>
          <w:sz w:val="22"/>
          <w:szCs w:val="22"/>
          <w:lang w:eastAsia="es-MX"/>
        </w:rPr>
        <w:t>831</w:t>
      </w:r>
      <w:r w:rsidR="00362EEC" w:rsidRPr="005D12C6">
        <w:rPr>
          <w:rFonts w:eastAsia="Times New Roman" w:cs="Times New Roman"/>
          <w:color w:val="000000"/>
          <w:sz w:val="22"/>
          <w:szCs w:val="22"/>
          <w:lang w:eastAsia="es-MX"/>
        </w:rPr>
        <w:t xml:space="preserve"> </w:t>
      </w:r>
      <w:r w:rsidRPr="005D12C6">
        <w:rPr>
          <w:rFonts w:eastAsia="Times New Roman" w:cs="Times New Roman"/>
          <w:color w:val="000000"/>
          <w:sz w:val="22"/>
          <w:szCs w:val="22"/>
          <w:lang w:eastAsia="es-MX"/>
        </w:rPr>
        <w:t xml:space="preserve">millones </w:t>
      </w:r>
      <w:r w:rsidR="00BF3F87" w:rsidRPr="005D12C6">
        <w:rPr>
          <w:rFonts w:eastAsia="Times New Roman" w:cs="Times New Roman"/>
          <w:color w:val="000000"/>
          <w:sz w:val="22"/>
          <w:szCs w:val="22"/>
          <w:lang w:eastAsia="es-MX"/>
        </w:rPr>
        <w:t>282</w:t>
      </w:r>
      <w:r w:rsidR="0023083B" w:rsidRPr="005D12C6">
        <w:rPr>
          <w:rFonts w:eastAsia="Times New Roman" w:cs="Times New Roman"/>
          <w:color w:val="000000"/>
          <w:sz w:val="22"/>
          <w:szCs w:val="22"/>
          <w:lang w:eastAsia="es-MX"/>
        </w:rPr>
        <w:t xml:space="preserve"> </w:t>
      </w:r>
      <w:r w:rsidRPr="005D12C6">
        <w:rPr>
          <w:rFonts w:eastAsia="Times New Roman" w:cs="Times New Roman"/>
          <w:color w:val="000000"/>
          <w:sz w:val="22"/>
          <w:szCs w:val="22"/>
          <w:lang w:eastAsia="es-MX"/>
        </w:rPr>
        <w:t xml:space="preserve">mil </w:t>
      </w:r>
      <w:r w:rsidR="00BF3F87" w:rsidRPr="005D12C6">
        <w:rPr>
          <w:rFonts w:eastAsia="Times New Roman" w:cs="Times New Roman"/>
          <w:color w:val="000000"/>
          <w:sz w:val="22"/>
          <w:szCs w:val="22"/>
          <w:lang w:eastAsia="es-MX"/>
        </w:rPr>
        <w:t>462</w:t>
      </w:r>
      <w:r w:rsidRPr="005D12C6">
        <w:rPr>
          <w:rFonts w:eastAsia="Times New Roman" w:cs="Times New Roman"/>
          <w:color w:val="000000"/>
          <w:sz w:val="22"/>
          <w:szCs w:val="22"/>
          <w:lang w:eastAsia="es-MX"/>
        </w:rPr>
        <w:t xml:space="preserve"> pesos</w:t>
      </w:r>
      <w:r w:rsidR="009960BD" w:rsidRPr="005D12C6">
        <w:rPr>
          <w:rFonts w:eastAsia="Times New Roman" w:cs="Times New Roman"/>
          <w:color w:val="000000"/>
          <w:sz w:val="22"/>
          <w:szCs w:val="22"/>
          <w:lang w:eastAsia="es-MX"/>
        </w:rPr>
        <w:t xml:space="preserve"> 41 centavos</w:t>
      </w:r>
      <w:r w:rsidRPr="005D12C6">
        <w:rPr>
          <w:rFonts w:eastAsia="Times New Roman" w:cs="Times New Roman"/>
          <w:color w:val="000000"/>
          <w:sz w:val="22"/>
          <w:szCs w:val="22"/>
          <w:lang w:eastAsia="es-MX"/>
        </w:rPr>
        <w:t xml:space="preserve">, se encuentra integrado por diversas cuentas cuya característica es que son recuperables en el corto plazo originados en el desarrollo en las actividades de los </w:t>
      </w:r>
      <w:r w:rsidR="00F073C1" w:rsidRPr="005D12C6">
        <w:rPr>
          <w:rFonts w:eastAsia="Times New Roman" w:cs="Times New Roman"/>
          <w:color w:val="000000"/>
          <w:sz w:val="22"/>
          <w:szCs w:val="22"/>
          <w:lang w:eastAsia="es-MX"/>
        </w:rPr>
        <w:t>E</w:t>
      </w:r>
      <w:r w:rsidRPr="005D12C6">
        <w:rPr>
          <w:rFonts w:eastAsia="Times New Roman" w:cs="Times New Roman"/>
          <w:color w:val="000000"/>
          <w:sz w:val="22"/>
          <w:szCs w:val="22"/>
          <w:lang w:eastAsia="es-MX"/>
        </w:rPr>
        <w:t xml:space="preserve">ntes </w:t>
      </w:r>
      <w:r w:rsidR="00F073C1" w:rsidRPr="005D12C6">
        <w:rPr>
          <w:rFonts w:eastAsia="Times New Roman" w:cs="Times New Roman"/>
          <w:color w:val="000000"/>
          <w:sz w:val="22"/>
          <w:szCs w:val="22"/>
          <w:lang w:eastAsia="es-MX"/>
        </w:rPr>
        <w:t>P</w:t>
      </w:r>
      <w:r w:rsidRPr="005D12C6">
        <w:rPr>
          <w:rFonts w:eastAsia="Times New Roman" w:cs="Times New Roman"/>
          <w:color w:val="000000"/>
          <w:sz w:val="22"/>
          <w:szCs w:val="22"/>
          <w:lang w:eastAsia="es-MX"/>
        </w:rPr>
        <w:t>úblicos, por la</w:t>
      </w:r>
      <w:r w:rsidR="00BE4DE3" w:rsidRPr="005D12C6">
        <w:rPr>
          <w:rFonts w:eastAsia="Times New Roman" w:cs="Times New Roman"/>
          <w:color w:val="000000"/>
          <w:sz w:val="22"/>
          <w:szCs w:val="22"/>
          <w:lang w:eastAsia="es-MX"/>
        </w:rPr>
        <w:t>s</w:t>
      </w:r>
      <w:r w:rsidRPr="005D12C6">
        <w:rPr>
          <w:rFonts w:eastAsia="Times New Roman" w:cs="Times New Roman"/>
          <w:color w:val="000000"/>
          <w:sz w:val="22"/>
          <w:szCs w:val="22"/>
          <w:lang w:eastAsia="es-MX"/>
        </w:rPr>
        <w:t xml:space="preserve"> cuales se espera recibir una contraprestación representada en recursos, bienes o servicio, es decir, que aun cuando no son efectivo, serán recuperables en el transcurso del año, a continuación, se muestra su integración:</w:t>
      </w:r>
    </w:p>
    <w:p w14:paraId="340FA2C0" w14:textId="5C943320" w:rsidR="00F91988" w:rsidRPr="005D12C6" w:rsidRDefault="00BF3F87" w:rsidP="00072C3D">
      <w:pPr>
        <w:widowControl w:val="0"/>
        <w:kinsoku w:val="0"/>
        <w:spacing w:before="120" w:after="120"/>
        <w:contextualSpacing/>
        <w:rPr>
          <w:rFonts w:eastAsia="Times New Roman" w:cs="Times New Roman"/>
          <w:b/>
          <w:color w:val="000000"/>
          <w:sz w:val="22"/>
          <w:szCs w:val="22"/>
          <w:lang w:eastAsia="es-MX"/>
        </w:rPr>
      </w:pPr>
      <w:r w:rsidRPr="005D12C6">
        <w:rPr>
          <w:noProof/>
          <w:lang w:val="es-MX" w:eastAsia="es-MX"/>
        </w:rPr>
        <w:lastRenderedPageBreak/>
        <w:drawing>
          <wp:inline distT="0" distB="0" distL="0" distR="0" wp14:anchorId="7D74DA59" wp14:editId="5479E380">
            <wp:extent cx="6351270" cy="902898"/>
            <wp:effectExtent l="0" t="0" r="0" b="0"/>
            <wp:docPr id="74557979" name="Imagen 7455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1270" cy="902898"/>
                    </a:xfrm>
                    <a:prstGeom prst="rect">
                      <a:avLst/>
                    </a:prstGeom>
                    <a:noFill/>
                    <a:ln>
                      <a:noFill/>
                    </a:ln>
                  </pic:spPr>
                </pic:pic>
              </a:graphicData>
            </a:graphic>
          </wp:inline>
        </w:drawing>
      </w:r>
    </w:p>
    <w:p w14:paraId="733CF44D" w14:textId="7A474C70" w:rsidR="00B82D70" w:rsidRPr="005D12C6"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Cuentas por cobrar a corto plazo:</w:t>
      </w:r>
    </w:p>
    <w:p w14:paraId="1F50DC79" w14:textId="66B14400" w:rsidR="00B82D70" w:rsidRPr="005D12C6" w:rsidRDefault="00B82D70">
      <w:pPr>
        <w:widowControl w:val="0"/>
        <w:numPr>
          <w:ilvl w:val="0"/>
          <w:numId w:val="2"/>
        </w:numPr>
        <w:spacing w:before="120" w:after="120"/>
        <w:ind w:left="1418" w:hanging="425"/>
        <w:rPr>
          <w:rFonts w:eastAsia="Times New Roman" w:cs="Times New Roman"/>
          <w:sz w:val="22"/>
          <w:szCs w:val="22"/>
          <w:lang w:eastAsia="es-MX"/>
        </w:rPr>
      </w:pPr>
      <w:r w:rsidRPr="005D12C6">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sidRPr="005D12C6">
        <w:rPr>
          <w:rFonts w:eastAsia="Times New Roman" w:cs="Times New Roman"/>
          <w:sz w:val="22"/>
          <w:szCs w:val="22"/>
          <w:lang w:eastAsia="es-MX"/>
        </w:rPr>
        <w:t>trimestre</w:t>
      </w:r>
      <w:r w:rsidRPr="005D12C6">
        <w:rPr>
          <w:rFonts w:eastAsia="Times New Roman" w:cs="Times New Roman"/>
          <w:sz w:val="22"/>
          <w:szCs w:val="22"/>
          <w:lang w:eastAsia="es-MX"/>
        </w:rPr>
        <w:t xml:space="preserve"> se encuentran en trámite de recaudación.</w:t>
      </w:r>
    </w:p>
    <w:p w14:paraId="7C26CCBE" w14:textId="37ADC8AF" w:rsidR="00B82D70" w:rsidRPr="005D12C6"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 xml:space="preserve">Deudores Diversos por cobrar a corto plazo: </w:t>
      </w:r>
    </w:p>
    <w:p w14:paraId="0E4D16D7" w14:textId="5C8D3DEA" w:rsidR="00C44740" w:rsidRPr="005D12C6" w:rsidRDefault="00B82D70" w:rsidP="003E2C2C">
      <w:pPr>
        <w:widowControl w:val="0"/>
        <w:numPr>
          <w:ilvl w:val="0"/>
          <w:numId w:val="2"/>
        </w:numPr>
        <w:spacing w:before="0" w:after="0"/>
        <w:ind w:left="1495"/>
        <w:rPr>
          <w:rFonts w:eastAsia="Times New Roman" w:cs="Times New Roman"/>
          <w:sz w:val="22"/>
          <w:szCs w:val="22"/>
          <w:lang w:eastAsia="es-MX"/>
        </w:rPr>
      </w:pPr>
      <w:r w:rsidRPr="005D12C6">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sidRPr="005D12C6">
        <w:rPr>
          <w:rFonts w:eastAsia="Times New Roman" w:cs="Times New Roman"/>
          <w:sz w:val="22"/>
          <w:szCs w:val="22"/>
          <w:lang w:eastAsia="es-MX"/>
        </w:rPr>
        <w:t xml:space="preserve"> a través de documentos de pago provisionales y que no han regularizado, </w:t>
      </w:r>
      <w:r w:rsidRPr="005D12C6">
        <w:rPr>
          <w:rFonts w:eastAsia="Times New Roman" w:cs="Times New Roman"/>
          <w:sz w:val="22"/>
          <w:szCs w:val="22"/>
          <w:lang w:eastAsia="es-MX"/>
        </w:rPr>
        <w:t>así mismo, se incluyen en este mismo rubro, los adeudos por descuentos que la Federación hace al Estado de sus participaciones Federales</w:t>
      </w:r>
      <w:r w:rsidR="00E52CD9" w:rsidRPr="005D12C6">
        <w:rPr>
          <w:rFonts w:eastAsia="Times New Roman" w:cs="Times New Roman"/>
          <w:sz w:val="22"/>
          <w:szCs w:val="22"/>
          <w:lang w:eastAsia="es-MX"/>
        </w:rPr>
        <w:t>,</w:t>
      </w:r>
      <w:r w:rsidRPr="005D12C6">
        <w:rPr>
          <w:rFonts w:eastAsia="Times New Roman" w:cs="Times New Roman"/>
          <w:sz w:val="22"/>
          <w:szCs w:val="22"/>
          <w:lang w:eastAsia="es-MX"/>
        </w:rPr>
        <w:t xml:space="preserve"> por adeudos al Instituto Mexicano del Seguro Social y al </w:t>
      </w:r>
      <w:r w:rsidRPr="005D12C6">
        <w:rPr>
          <w:rFonts w:eastAsia="Calibri" w:cs="Times New Roman"/>
          <w:color w:val="000000"/>
          <w:sz w:val="22"/>
          <w:szCs w:val="22"/>
        </w:rPr>
        <w:t>Instituto de Seguridad y Servicios Sociales de los Trabajadores del Estado</w:t>
      </w:r>
      <w:r w:rsidR="00E52CD9" w:rsidRPr="005D12C6">
        <w:rPr>
          <w:rFonts w:eastAsia="Calibri" w:cs="Times New Roman"/>
          <w:color w:val="000000"/>
          <w:sz w:val="22"/>
          <w:szCs w:val="22"/>
        </w:rPr>
        <w:t>,</w:t>
      </w:r>
      <w:r w:rsidRPr="005D12C6">
        <w:rPr>
          <w:rFonts w:eastAsia="Times New Roman" w:cs="Times New Roman"/>
          <w:sz w:val="22"/>
          <w:szCs w:val="22"/>
          <w:lang w:eastAsia="es-MX"/>
        </w:rPr>
        <w:t xml:space="preserve"> </w:t>
      </w:r>
      <w:r w:rsidR="00E52CD9" w:rsidRPr="005D12C6">
        <w:rPr>
          <w:rFonts w:eastAsia="Times New Roman" w:cs="Times New Roman"/>
          <w:sz w:val="22"/>
          <w:szCs w:val="22"/>
          <w:lang w:eastAsia="es-MX"/>
        </w:rPr>
        <w:t>de las entidades y municipios,</w:t>
      </w:r>
      <w:r w:rsidRPr="005D12C6">
        <w:rPr>
          <w:rFonts w:eastAsia="Times New Roman" w:cs="Times New Roman"/>
          <w:sz w:val="22"/>
          <w:szCs w:val="22"/>
          <w:lang w:eastAsia="es-MX"/>
        </w:rPr>
        <w:t xml:space="preserve"> y que al </w:t>
      </w:r>
      <w:r w:rsidR="00053575" w:rsidRPr="005D12C6">
        <w:rPr>
          <w:rFonts w:eastAsia="Times New Roman" w:cs="Times New Roman"/>
          <w:sz w:val="22"/>
          <w:szCs w:val="22"/>
          <w:lang w:eastAsia="es-MX"/>
        </w:rPr>
        <w:t>3</w:t>
      </w:r>
      <w:r w:rsidR="00A80829" w:rsidRPr="005D12C6">
        <w:rPr>
          <w:rFonts w:eastAsia="Times New Roman" w:cs="Times New Roman"/>
          <w:sz w:val="22"/>
          <w:szCs w:val="22"/>
          <w:lang w:eastAsia="es-MX"/>
        </w:rPr>
        <w:t>0</w:t>
      </w:r>
      <w:r w:rsidR="00053575" w:rsidRPr="005D12C6">
        <w:rPr>
          <w:rFonts w:eastAsia="Times New Roman" w:cs="Times New Roman"/>
          <w:sz w:val="22"/>
          <w:szCs w:val="22"/>
          <w:lang w:eastAsia="es-MX"/>
        </w:rPr>
        <w:t xml:space="preserve"> de </w:t>
      </w:r>
      <w:r w:rsidR="009B6FBE" w:rsidRPr="005D12C6">
        <w:rPr>
          <w:rFonts w:eastAsia="Calibri" w:cs="Times New Roman"/>
          <w:sz w:val="22"/>
          <w:szCs w:val="22"/>
        </w:rPr>
        <w:t>junio</w:t>
      </w:r>
      <w:r w:rsidRPr="005D12C6">
        <w:rPr>
          <w:rFonts w:eastAsia="Times New Roman" w:cs="Times New Roman"/>
          <w:sz w:val="22"/>
          <w:szCs w:val="22"/>
          <w:lang w:eastAsia="es-MX"/>
        </w:rPr>
        <w:t xml:space="preserve"> de 202</w:t>
      </w:r>
      <w:r w:rsidR="00362EEC" w:rsidRPr="005D12C6">
        <w:rPr>
          <w:rFonts w:eastAsia="Times New Roman" w:cs="Times New Roman"/>
          <w:sz w:val="22"/>
          <w:szCs w:val="22"/>
          <w:lang w:eastAsia="es-MX"/>
        </w:rPr>
        <w:t>4</w:t>
      </w:r>
      <w:r w:rsidRPr="005D12C6">
        <w:rPr>
          <w:rFonts w:eastAsia="Times New Roman" w:cs="Times New Roman"/>
          <w:sz w:val="22"/>
          <w:szCs w:val="22"/>
          <w:lang w:eastAsia="es-MX"/>
        </w:rPr>
        <w:t xml:space="preserve"> no regularizaron, además, de los adeudos de terceros comerciales por concepto de cheques cancelados de nóminas.</w:t>
      </w:r>
    </w:p>
    <w:p w14:paraId="11A39D9B" w14:textId="153476D0" w:rsidR="00C0303A" w:rsidRPr="005D12C6" w:rsidRDefault="00B82D70" w:rsidP="00072C3D">
      <w:pPr>
        <w:widowControl w:val="0"/>
        <w:numPr>
          <w:ilvl w:val="0"/>
          <w:numId w:val="2"/>
        </w:numPr>
        <w:spacing w:before="0" w:after="0"/>
        <w:ind w:left="1418" w:hanging="425"/>
        <w:rPr>
          <w:sz w:val="22"/>
          <w:szCs w:val="22"/>
        </w:rPr>
      </w:pPr>
      <w:r w:rsidRPr="005D12C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5E1B662" w14:textId="77777777" w:rsidR="00B82D70" w:rsidRPr="005D12C6" w:rsidRDefault="00B82D70" w:rsidP="00072C3D">
      <w:pPr>
        <w:widowControl w:val="0"/>
        <w:numPr>
          <w:ilvl w:val="0"/>
          <w:numId w:val="2"/>
        </w:numPr>
        <w:kinsoku w:val="0"/>
        <w:spacing w:before="0" w:after="0"/>
        <w:ind w:left="1418" w:hanging="425"/>
        <w:contextualSpacing/>
        <w:rPr>
          <w:rFonts w:eastAsia="Times New Roman" w:cs="Times New Roman"/>
          <w:sz w:val="22"/>
          <w:szCs w:val="22"/>
          <w:lang w:eastAsia="es-MX"/>
        </w:rPr>
      </w:pPr>
      <w:r w:rsidRPr="005D12C6">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2D7D12B" w14:textId="64AFD5DD" w:rsidR="00B82D70" w:rsidRPr="005D12C6" w:rsidRDefault="00B82D70" w:rsidP="00072C3D">
      <w:pPr>
        <w:widowControl w:val="0"/>
        <w:kinsoku w:val="0"/>
        <w:spacing w:before="120" w:after="120"/>
        <w:ind w:left="426"/>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Ingresos por recuperar a corto plazo:</w:t>
      </w:r>
    </w:p>
    <w:p w14:paraId="0C118EEA" w14:textId="5642A29A" w:rsidR="00B82D70" w:rsidRPr="005D12C6" w:rsidRDefault="00B82D70" w:rsidP="00072C3D">
      <w:pPr>
        <w:widowControl w:val="0"/>
        <w:numPr>
          <w:ilvl w:val="0"/>
          <w:numId w:val="2"/>
        </w:numPr>
        <w:spacing w:before="120" w:after="120"/>
        <w:ind w:left="1418" w:hanging="425"/>
        <w:rPr>
          <w:rFonts w:eastAsia="Times New Roman" w:cs="Times New Roman"/>
          <w:sz w:val="22"/>
          <w:szCs w:val="22"/>
          <w:lang w:eastAsia="es-MX"/>
        </w:rPr>
      </w:pPr>
      <w:r w:rsidRPr="005D12C6">
        <w:rPr>
          <w:rFonts w:eastAsia="Times New Roman" w:cs="Times New Roman"/>
          <w:sz w:val="22"/>
          <w:szCs w:val="22"/>
          <w:lang w:eastAsia="es-MX"/>
        </w:rPr>
        <w:t xml:space="preserve">Esta cuenta, refleja el saldo de los ingresos estatales devengados a favor del Estado conforme a lo establecido por la Ley General de Contabilidad Gubernamental que, al cierre del período, se </w:t>
      </w:r>
      <w:r w:rsidRPr="005D12C6">
        <w:rPr>
          <w:rFonts w:eastAsia="Times New Roman" w:cs="Times New Roman"/>
          <w:sz w:val="22"/>
          <w:szCs w:val="22"/>
          <w:lang w:eastAsia="es-MX"/>
        </w:rPr>
        <w:lastRenderedPageBreak/>
        <w:t>encuentran en trámite de recaudación.</w:t>
      </w:r>
    </w:p>
    <w:p w14:paraId="18A47084" w14:textId="0675F26A" w:rsidR="00B82D70" w:rsidRPr="005D12C6" w:rsidRDefault="00B82D70" w:rsidP="00072C3D">
      <w:pPr>
        <w:widowControl w:val="0"/>
        <w:kinsoku w:val="0"/>
        <w:spacing w:before="0" w:after="0"/>
        <w:ind w:left="426"/>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Deudores por anticipos</w:t>
      </w:r>
      <w:r w:rsidR="006918EB" w:rsidRPr="005D12C6">
        <w:rPr>
          <w:rFonts w:eastAsia="Times New Roman" w:cs="Times New Roman"/>
          <w:b/>
          <w:color w:val="000000"/>
          <w:sz w:val="22"/>
          <w:szCs w:val="22"/>
          <w:lang w:eastAsia="es-MX"/>
        </w:rPr>
        <w:t xml:space="preserve"> de Tesorería</w:t>
      </w:r>
      <w:r w:rsidRPr="005D12C6">
        <w:rPr>
          <w:rFonts w:eastAsia="Times New Roman" w:cs="Times New Roman"/>
          <w:b/>
          <w:color w:val="000000"/>
          <w:sz w:val="22"/>
          <w:szCs w:val="22"/>
          <w:lang w:eastAsia="es-MX"/>
        </w:rPr>
        <w:t xml:space="preserve"> a corto plazo:</w:t>
      </w:r>
    </w:p>
    <w:p w14:paraId="190EC017" w14:textId="761D3891" w:rsidR="00B82D70" w:rsidRPr="005D12C6"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5D12C6">
        <w:rPr>
          <w:rFonts w:ascii="GalanoGrotesque-Light" w:hAnsi="GalanoGrotesque-Light"/>
          <w:sz w:val="22"/>
          <w:szCs w:val="22"/>
          <w:lang w:val="es-MX"/>
        </w:rPr>
        <w:t xml:space="preserve">Corresponde a los fondos </w:t>
      </w:r>
      <w:proofErr w:type="spellStart"/>
      <w:r w:rsidRPr="005D12C6">
        <w:rPr>
          <w:rFonts w:ascii="GalanoGrotesque-Light" w:hAnsi="GalanoGrotesque-Light"/>
          <w:sz w:val="22"/>
          <w:szCs w:val="22"/>
          <w:lang w:val="es-MX"/>
        </w:rPr>
        <w:t>revolventes</w:t>
      </w:r>
      <w:proofErr w:type="spellEnd"/>
      <w:r w:rsidRPr="005D12C6">
        <w:rPr>
          <w:rFonts w:ascii="GalanoGrotesque-Light" w:hAnsi="GalanoGrotesque-Light"/>
          <w:sz w:val="22"/>
          <w:szCs w:val="22"/>
          <w:lang w:val="es-MX"/>
        </w:rPr>
        <w:t xml:space="preserve"> asignados a las dependencias para su operación.</w:t>
      </w:r>
    </w:p>
    <w:p w14:paraId="65EBFBB5" w14:textId="0ABFA4AE" w:rsidR="00B82D70" w:rsidRPr="005D12C6" w:rsidRDefault="00B82D70" w:rsidP="00072C3D">
      <w:pPr>
        <w:widowControl w:val="0"/>
        <w:kinsoku w:val="0"/>
        <w:spacing w:before="0" w:after="0"/>
        <w:ind w:left="426"/>
        <w:contextualSpacing/>
        <w:rPr>
          <w:rFonts w:eastAsia="Times New Roman" w:cs="Times New Roman"/>
          <w:b/>
          <w:sz w:val="22"/>
          <w:szCs w:val="22"/>
          <w:lang w:eastAsia="es-MX"/>
        </w:rPr>
      </w:pPr>
      <w:r w:rsidRPr="005D12C6">
        <w:rPr>
          <w:rFonts w:eastAsia="Times New Roman" w:cs="Times New Roman"/>
          <w:b/>
          <w:sz w:val="22"/>
          <w:szCs w:val="22"/>
          <w:lang w:eastAsia="es-MX"/>
        </w:rPr>
        <w:t>Préstamos otorgados a corto plazo:</w:t>
      </w:r>
    </w:p>
    <w:p w14:paraId="6FF60A2F" w14:textId="478D5346" w:rsidR="00B82D70" w:rsidRPr="005D12C6"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5D12C6">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5D12C6" w:rsidRDefault="00B82D70" w:rsidP="00072C3D">
      <w:pPr>
        <w:widowControl w:val="0"/>
        <w:kinsoku w:val="0"/>
        <w:spacing w:before="0" w:after="0"/>
        <w:ind w:left="426"/>
        <w:contextualSpacing/>
        <w:rPr>
          <w:rFonts w:eastAsia="Times New Roman" w:cs="Times New Roman"/>
          <w:b/>
          <w:sz w:val="22"/>
          <w:szCs w:val="22"/>
          <w:lang w:eastAsia="es-MX"/>
        </w:rPr>
      </w:pPr>
      <w:r w:rsidRPr="005D12C6">
        <w:rPr>
          <w:rFonts w:eastAsia="Times New Roman" w:cs="Times New Roman"/>
          <w:b/>
          <w:sz w:val="22"/>
          <w:szCs w:val="22"/>
          <w:lang w:eastAsia="es-MX"/>
        </w:rPr>
        <w:t>Otros derechos a recibir efectivo o equivalentes a corto plazo:</w:t>
      </w:r>
    </w:p>
    <w:p w14:paraId="55F277E0" w14:textId="573CFC12" w:rsidR="00B82D70" w:rsidRPr="005D12C6"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5D12C6">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200C6C64" w14:textId="77777777" w:rsidR="00FD3AF2" w:rsidRPr="005D12C6" w:rsidRDefault="00FD3AF2" w:rsidP="00072C3D">
      <w:pPr>
        <w:rPr>
          <w:b/>
          <w:bCs/>
          <w:sz w:val="22"/>
          <w:szCs w:val="22"/>
          <w:lang w:val="es-MX"/>
        </w:rPr>
      </w:pPr>
    </w:p>
    <w:p w14:paraId="49B4A068" w14:textId="6563AE98" w:rsidR="00094A75" w:rsidRPr="005D12C6" w:rsidRDefault="00A71085" w:rsidP="00072C3D">
      <w:pPr>
        <w:rPr>
          <w:b/>
          <w:bCs/>
          <w:sz w:val="22"/>
          <w:szCs w:val="22"/>
          <w:lang w:val="es-MX"/>
        </w:rPr>
      </w:pPr>
      <w:r w:rsidRPr="005D12C6">
        <w:rPr>
          <w:b/>
          <w:bCs/>
          <w:sz w:val="22"/>
          <w:szCs w:val="22"/>
          <w:lang w:val="es-MX"/>
        </w:rPr>
        <w:t>BIENES DISPONIBLES PARA SU TRANSFORMACIÓN O CONSUMO (INVENTARIOS)</w:t>
      </w:r>
    </w:p>
    <w:p w14:paraId="08701FC0" w14:textId="4876E766" w:rsidR="00A71085" w:rsidRPr="005D12C6" w:rsidRDefault="00A71085" w:rsidP="00072C3D">
      <w:pPr>
        <w:rPr>
          <w:b/>
          <w:bCs/>
          <w:sz w:val="22"/>
          <w:szCs w:val="22"/>
          <w:lang w:val="es-MX"/>
        </w:rPr>
      </w:pPr>
      <w:r w:rsidRPr="005D12C6">
        <w:rPr>
          <w:b/>
          <w:bCs/>
          <w:sz w:val="22"/>
          <w:szCs w:val="22"/>
          <w:lang w:val="es-MX"/>
        </w:rPr>
        <w:t>4.- BIENES DISPONIBLES PARA SU TRANSFORMACIÓN</w:t>
      </w:r>
    </w:p>
    <w:p w14:paraId="28B5A746" w14:textId="62FA8950" w:rsidR="00623CDF" w:rsidRPr="005D12C6" w:rsidRDefault="00A71085" w:rsidP="00072C3D">
      <w:pPr>
        <w:rPr>
          <w:sz w:val="22"/>
          <w:szCs w:val="22"/>
          <w:lang w:val="es-MX"/>
        </w:rPr>
      </w:pPr>
      <w:r w:rsidRPr="005D12C6">
        <w:rPr>
          <w:sz w:val="22"/>
          <w:szCs w:val="22"/>
          <w:lang w:val="es-MX"/>
        </w:rPr>
        <w:t>Esta nota no aplica, en vista de que el Gobierno del Estado de Michoacán</w:t>
      </w:r>
      <w:r w:rsidR="00623CDF" w:rsidRPr="005D12C6">
        <w:rPr>
          <w:sz w:val="22"/>
          <w:szCs w:val="22"/>
          <w:lang w:val="es-MX"/>
        </w:rPr>
        <w:t xml:space="preserve"> no transforma bienes.</w:t>
      </w:r>
    </w:p>
    <w:p w14:paraId="1033FE9F" w14:textId="6455F7C9" w:rsidR="00623CDF" w:rsidRPr="005D12C6" w:rsidRDefault="00623CDF" w:rsidP="00072C3D">
      <w:pPr>
        <w:rPr>
          <w:b/>
          <w:bCs/>
          <w:sz w:val="22"/>
          <w:szCs w:val="22"/>
          <w:lang w:val="es-MX"/>
        </w:rPr>
      </w:pPr>
      <w:r w:rsidRPr="005D12C6">
        <w:rPr>
          <w:b/>
          <w:bCs/>
          <w:sz w:val="22"/>
          <w:szCs w:val="22"/>
          <w:lang w:val="es-MX"/>
        </w:rPr>
        <w:t>5.- ALMACÉN</w:t>
      </w:r>
    </w:p>
    <w:p w14:paraId="3887CB51" w14:textId="0706EE77" w:rsidR="00623CDF" w:rsidRPr="005D12C6" w:rsidRDefault="00623CDF" w:rsidP="00072C3D">
      <w:pPr>
        <w:rPr>
          <w:sz w:val="22"/>
          <w:szCs w:val="22"/>
          <w:lang w:val="es-MX"/>
        </w:rPr>
      </w:pPr>
      <w:r w:rsidRPr="005D12C6">
        <w:rPr>
          <w:sz w:val="22"/>
          <w:szCs w:val="22"/>
          <w:lang w:val="es-MX"/>
        </w:rPr>
        <w:t xml:space="preserve">El saldo por </w:t>
      </w:r>
      <w:r w:rsidR="002C2F61" w:rsidRPr="005D12C6">
        <w:rPr>
          <w:sz w:val="22"/>
          <w:szCs w:val="22"/>
          <w:lang w:val="es-MX"/>
        </w:rPr>
        <w:t>486</w:t>
      </w:r>
      <w:r w:rsidRPr="005D12C6">
        <w:rPr>
          <w:sz w:val="22"/>
          <w:szCs w:val="22"/>
          <w:lang w:val="es-MX"/>
        </w:rPr>
        <w:t xml:space="preserve"> mil</w:t>
      </w:r>
      <w:r w:rsidR="00E71FFE" w:rsidRPr="005D12C6">
        <w:rPr>
          <w:sz w:val="22"/>
          <w:szCs w:val="22"/>
          <w:lang w:val="es-MX"/>
        </w:rPr>
        <w:t xml:space="preserve"> </w:t>
      </w:r>
      <w:r w:rsidR="002C2F61" w:rsidRPr="005D12C6">
        <w:rPr>
          <w:sz w:val="22"/>
          <w:szCs w:val="22"/>
          <w:lang w:val="es-MX"/>
        </w:rPr>
        <w:t>820</w:t>
      </w:r>
      <w:r w:rsidRPr="005D12C6">
        <w:rPr>
          <w:sz w:val="22"/>
          <w:szCs w:val="22"/>
          <w:lang w:val="es-MX"/>
        </w:rPr>
        <w:t xml:space="preserve"> pesos</w:t>
      </w:r>
      <w:r w:rsidR="00141BDE" w:rsidRPr="005D12C6">
        <w:rPr>
          <w:sz w:val="22"/>
          <w:szCs w:val="22"/>
          <w:lang w:val="es-MX"/>
        </w:rPr>
        <w:t xml:space="preserve"> 21 centavos</w:t>
      </w:r>
      <w:r w:rsidR="005270C7" w:rsidRPr="005D12C6">
        <w:rPr>
          <w:sz w:val="22"/>
          <w:szCs w:val="22"/>
          <w:lang w:val="es-MX"/>
        </w:rPr>
        <w:t>,</w:t>
      </w:r>
      <w:r w:rsidRPr="005D12C6">
        <w:rPr>
          <w:sz w:val="22"/>
          <w:szCs w:val="22"/>
          <w:lang w:val="es-MX"/>
        </w:rPr>
        <w:t xml:space="preserve"> de la cuenta de almacenes corresponde a las existencias de materiales y útiles de oficina, materiales para el procesamiento de equipos informáticos, material eléctrico y electrónico, así como de herramientas menores.</w:t>
      </w:r>
    </w:p>
    <w:p w14:paraId="52ECB970" w14:textId="49056059" w:rsidR="001D0A8E" w:rsidRPr="005D12C6" w:rsidRDefault="00BF3F87" w:rsidP="00A71085">
      <w:pPr>
        <w:rPr>
          <w:sz w:val="22"/>
          <w:szCs w:val="22"/>
          <w:lang w:val="es-MX"/>
        </w:rPr>
      </w:pPr>
      <w:r w:rsidRPr="005D12C6">
        <w:rPr>
          <w:noProof/>
          <w:lang w:val="es-MX" w:eastAsia="es-MX"/>
        </w:rPr>
        <w:drawing>
          <wp:inline distT="0" distB="0" distL="0" distR="0" wp14:anchorId="5F68F8AB" wp14:editId="7C20657D">
            <wp:extent cx="6351270" cy="684274"/>
            <wp:effectExtent l="0" t="0" r="0" b="1905"/>
            <wp:docPr id="74557980" name="Imagen 7455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1270" cy="684274"/>
                    </a:xfrm>
                    <a:prstGeom prst="rect">
                      <a:avLst/>
                    </a:prstGeom>
                    <a:noFill/>
                    <a:ln>
                      <a:noFill/>
                    </a:ln>
                  </pic:spPr>
                </pic:pic>
              </a:graphicData>
            </a:graphic>
          </wp:inline>
        </w:drawing>
      </w:r>
    </w:p>
    <w:p w14:paraId="796FB083" w14:textId="77777777" w:rsidR="0030469C" w:rsidRPr="005D12C6" w:rsidRDefault="0030469C" w:rsidP="00B82D70">
      <w:pPr>
        <w:spacing w:before="0" w:after="0"/>
        <w:rPr>
          <w:rFonts w:eastAsia="Times New Roman" w:cs="Times New Roman"/>
          <w:b/>
          <w:color w:val="000000"/>
          <w:sz w:val="22"/>
          <w:szCs w:val="22"/>
          <w:lang w:eastAsia="es-MX"/>
        </w:rPr>
      </w:pPr>
    </w:p>
    <w:p w14:paraId="05AA9270" w14:textId="77777777" w:rsidR="000033B5" w:rsidRPr="005D12C6" w:rsidRDefault="000033B5" w:rsidP="00B82D70">
      <w:pPr>
        <w:spacing w:before="0" w:after="0"/>
        <w:rPr>
          <w:rFonts w:eastAsia="Times New Roman" w:cs="Times New Roman"/>
          <w:b/>
          <w:color w:val="000000"/>
          <w:sz w:val="22"/>
          <w:szCs w:val="22"/>
          <w:lang w:eastAsia="es-MX"/>
        </w:rPr>
      </w:pPr>
    </w:p>
    <w:p w14:paraId="6D44B6A1" w14:textId="77777777" w:rsidR="0030469C" w:rsidRPr="005D12C6" w:rsidRDefault="0030469C" w:rsidP="00B82D70">
      <w:pPr>
        <w:spacing w:before="0" w:after="0"/>
        <w:rPr>
          <w:rFonts w:eastAsia="Times New Roman" w:cs="Times New Roman"/>
          <w:b/>
          <w:color w:val="000000"/>
          <w:sz w:val="22"/>
          <w:szCs w:val="22"/>
          <w:lang w:eastAsia="es-MX"/>
        </w:rPr>
      </w:pPr>
    </w:p>
    <w:p w14:paraId="2FF70813" w14:textId="77777777" w:rsidR="00141BDE" w:rsidRPr="005D12C6" w:rsidRDefault="00141BDE" w:rsidP="00B82D70">
      <w:pPr>
        <w:spacing w:before="0" w:after="0"/>
        <w:rPr>
          <w:rFonts w:eastAsia="Times New Roman" w:cs="Times New Roman"/>
          <w:b/>
          <w:color w:val="000000"/>
          <w:sz w:val="22"/>
          <w:szCs w:val="22"/>
          <w:lang w:eastAsia="es-MX"/>
        </w:rPr>
      </w:pPr>
    </w:p>
    <w:p w14:paraId="32FD8743" w14:textId="77777777" w:rsidR="00141BDE" w:rsidRPr="005D12C6" w:rsidRDefault="00141BDE" w:rsidP="00B82D70">
      <w:pPr>
        <w:spacing w:before="0" w:after="0"/>
        <w:rPr>
          <w:rFonts w:eastAsia="Times New Roman" w:cs="Times New Roman"/>
          <w:b/>
          <w:color w:val="000000"/>
          <w:sz w:val="22"/>
          <w:szCs w:val="22"/>
          <w:lang w:eastAsia="es-MX"/>
        </w:rPr>
      </w:pPr>
    </w:p>
    <w:p w14:paraId="433ADE52" w14:textId="77777777" w:rsidR="00141BDE" w:rsidRPr="005D12C6" w:rsidRDefault="00141BDE" w:rsidP="00B82D70">
      <w:pPr>
        <w:spacing w:before="0" w:after="0"/>
        <w:rPr>
          <w:rFonts w:eastAsia="Times New Roman" w:cs="Times New Roman"/>
          <w:b/>
          <w:color w:val="000000"/>
          <w:sz w:val="22"/>
          <w:szCs w:val="22"/>
          <w:lang w:eastAsia="es-MX"/>
        </w:rPr>
      </w:pPr>
    </w:p>
    <w:p w14:paraId="429A2980" w14:textId="6D7F91E5" w:rsidR="001F3AA2" w:rsidRPr="005D12C6" w:rsidRDefault="00A46496" w:rsidP="00B82D70">
      <w:pPr>
        <w:spacing w:before="0" w:after="0"/>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lastRenderedPageBreak/>
        <w:t>ACTIVO NO CIRCULANTE</w:t>
      </w:r>
    </w:p>
    <w:p w14:paraId="7F512B95" w14:textId="56C77BC6" w:rsidR="00E71FFE" w:rsidRPr="005D12C6" w:rsidRDefault="00E71FFE" w:rsidP="00B82D70">
      <w:pPr>
        <w:spacing w:before="0" w:after="0"/>
        <w:rPr>
          <w:rFonts w:eastAsia="Times New Roman" w:cs="Times New Roman"/>
          <w:color w:val="000000"/>
          <w:sz w:val="22"/>
          <w:szCs w:val="22"/>
          <w:lang w:eastAsia="es-MX"/>
        </w:rPr>
      </w:pPr>
      <w:r w:rsidRPr="005D12C6">
        <w:rPr>
          <w:rFonts w:eastAsia="Times New Roman" w:cs="Times New Roman"/>
          <w:color w:val="000000"/>
          <w:sz w:val="22"/>
          <w:szCs w:val="22"/>
          <w:lang w:eastAsia="es-MX"/>
        </w:rPr>
        <w:t>El saldo al 3</w:t>
      </w:r>
      <w:r w:rsidR="00A80829" w:rsidRPr="005D12C6">
        <w:rPr>
          <w:rFonts w:eastAsia="Times New Roman" w:cs="Times New Roman"/>
          <w:color w:val="000000"/>
          <w:sz w:val="22"/>
          <w:szCs w:val="22"/>
          <w:lang w:eastAsia="es-MX"/>
        </w:rPr>
        <w:t>0</w:t>
      </w:r>
      <w:r w:rsidRPr="005D12C6">
        <w:rPr>
          <w:rFonts w:eastAsia="Times New Roman" w:cs="Times New Roman"/>
          <w:color w:val="000000"/>
          <w:sz w:val="22"/>
          <w:szCs w:val="22"/>
          <w:lang w:eastAsia="es-MX"/>
        </w:rPr>
        <w:t xml:space="preserve"> de </w:t>
      </w:r>
      <w:r w:rsidR="009B6FBE" w:rsidRPr="005D12C6">
        <w:rPr>
          <w:rFonts w:eastAsia="Calibri" w:cs="Times New Roman"/>
          <w:sz w:val="22"/>
          <w:szCs w:val="22"/>
        </w:rPr>
        <w:t>junio</w:t>
      </w:r>
      <w:r w:rsidRPr="005D12C6">
        <w:rPr>
          <w:rFonts w:eastAsia="Times New Roman" w:cs="Times New Roman"/>
          <w:color w:val="000000"/>
          <w:sz w:val="22"/>
          <w:szCs w:val="22"/>
          <w:lang w:eastAsia="es-MX"/>
        </w:rPr>
        <w:t xml:space="preserve"> de 202</w:t>
      </w:r>
      <w:r w:rsidR="00362EEC" w:rsidRPr="005D12C6">
        <w:rPr>
          <w:rFonts w:eastAsia="Times New Roman" w:cs="Times New Roman"/>
          <w:color w:val="000000"/>
          <w:sz w:val="22"/>
          <w:szCs w:val="22"/>
          <w:lang w:eastAsia="es-MX"/>
        </w:rPr>
        <w:t>4</w:t>
      </w:r>
      <w:r w:rsidRPr="005D12C6">
        <w:rPr>
          <w:rFonts w:eastAsia="Times New Roman" w:cs="Times New Roman"/>
          <w:color w:val="000000"/>
          <w:sz w:val="22"/>
          <w:szCs w:val="22"/>
          <w:lang w:eastAsia="es-MX"/>
        </w:rPr>
        <w:t xml:space="preserve"> del activo no circulante, asciende a la cantidad de 73 mil </w:t>
      </w:r>
      <w:r w:rsidR="007A0C98" w:rsidRPr="005D12C6">
        <w:rPr>
          <w:rFonts w:eastAsia="Times New Roman" w:cs="Times New Roman"/>
          <w:color w:val="000000"/>
          <w:sz w:val="22"/>
          <w:szCs w:val="22"/>
          <w:lang w:eastAsia="es-MX"/>
        </w:rPr>
        <w:t>472</w:t>
      </w:r>
      <w:r w:rsidRPr="005D12C6">
        <w:rPr>
          <w:rFonts w:eastAsia="Times New Roman" w:cs="Times New Roman"/>
          <w:color w:val="000000"/>
          <w:sz w:val="22"/>
          <w:szCs w:val="22"/>
          <w:lang w:eastAsia="es-MX"/>
        </w:rPr>
        <w:t xml:space="preserve"> millones </w:t>
      </w:r>
      <w:r w:rsidR="007A0C98" w:rsidRPr="005D12C6">
        <w:rPr>
          <w:rFonts w:eastAsia="Times New Roman" w:cs="Times New Roman"/>
          <w:color w:val="000000"/>
          <w:sz w:val="22"/>
          <w:szCs w:val="22"/>
          <w:lang w:eastAsia="es-MX"/>
        </w:rPr>
        <w:t>710</w:t>
      </w:r>
      <w:r w:rsidRPr="005D12C6">
        <w:rPr>
          <w:rFonts w:eastAsia="Times New Roman" w:cs="Times New Roman"/>
          <w:color w:val="000000"/>
          <w:sz w:val="22"/>
          <w:szCs w:val="22"/>
          <w:lang w:eastAsia="es-MX"/>
        </w:rPr>
        <w:t xml:space="preserve"> mil 4</w:t>
      </w:r>
      <w:r w:rsidR="007A0C98" w:rsidRPr="005D12C6">
        <w:rPr>
          <w:rFonts w:eastAsia="Times New Roman" w:cs="Times New Roman"/>
          <w:color w:val="000000"/>
          <w:sz w:val="22"/>
          <w:szCs w:val="22"/>
          <w:lang w:eastAsia="es-MX"/>
        </w:rPr>
        <w:t>97</w:t>
      </w:r>
      <w:r w:rsidRPr="005D12C6">
        <w:rPr>
          <w:rFonts w:eastAsia="Times New Roman" w:cs="Times New Roman"/>
          <w:color w:val="000000"/>
          <w:sz w:val="22"/>
          <w:szCs w:val="22"/>
          <w:lang w:eastAsia="es-MX"/>
        </w:rPr>
        <w:t xml:space="preserve"> pesos</w:t>
      </w:r>
      <w:r w:rsidR="009960BD" w:rsidRPr="005D12C6">
        <w:rPr>
          <w:rFonts w:eastAsia="Times New Roman" w:cs="Times New Roman"/>
          <w:color w:val="000000"/>
          <w:sz w:val="22"/>
          <w:szCs w:val="22"/>
          <w:lang w:eastAsia="es-MX"/>
        </w:rPr>
        <w:t xml:space="preserve"> 62 centavos</w:t>
      </w:r>
      <w:r w:rsidRPr="005D12C6">
        <w:rPr>
          <w:rFonts w:eastAsia="Times New Roman" w:cs="Times New Roman"/>
          <w:color w:val="000000"/>
          <w:sz w:val="22"/>
          <w:szCs w:val="22"/>
          <w:lang w:eastAsia="es-MX"/>
        </w:rPr>
        <w:t xml:space="preserve"> y se integran de la siguiente manera:</w:t>
      </w:r>
    </w:p>
    <w:p w14:paraId="41243137" w14:textId="38A2348F" w:rsidR="00E71FFE" w:rsidRPr="005D12C6" w:rsidRDefault="00BF3F87" w:rsidP="001F3AA2">
      <w:pPr>
        <w:spacing w:before="0" w:after="0"/>
        <w:rPr>
          <w:rFonts w:eastAsia="Times New Roman" w:cs="Times New Roman"/>
          <w:b/>
          <w:bCs/>
          <w:color w:val="000000"/>
          <w:sz w:val="22"/>
          <w:szCs w:val="22"/>
          <w:lang w:eastAsia="es-MX"/>
        </w:rPr>
      </w:pPr>
      <w:r w:rsidRPr="005D12C6">
        <w:rPr>
          <w:noProof/>
          <w:lang w:val="es-MX" w:eastAsia="es-MX"/>
        </w:rPr>
        <w:drawing>
          <wp:inline distT="0" distB="0" distL="0" distR="0" wp14:anchorId="03DF48A3" wp14:editId="1A238477">
            <wp:extent cx="6351270" cy="1013931"/>
            <wp:effectExtent l="0" t="0" r="0" b="0"/>
            <wp:docPr id="74557981" name="Imagen 7455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1270" cy="1013931"/>
                    </a:xfrm>
                    <a:prstGeom prst="rect">
                      <a:avLst/>
                    </a:prstGeom>
                    <a:noFill/>
                    <a:ln>
                      <a:noFill/>
                    </a:ln>
                  </pic:spPr>
                </pic:pic>
              </a:graphicData>
            </a:graphic>
          </wp:inline>
        </w:drawing>
      </w:r>
    </w:p>
    <w:p w14:paraId="4DFB4585" w14:textId="77777777" w:rsidR="00E16B8B" w:rsidRPr="005D12C6" w:rsidRDefault="00E16B8B" w:rsidP="001F3AA2">
      <w:pPr>
        <w:spacing w:before="0" w:after="0"/>
        <w:rPr>
          <w:rFonts w:eastAsia="Times New Roman" w:cs="Times New Roman"/>
          <w:b/>
          <w:bCs/>
          <w:color w:val="000000"/>
          <w:sz w:val="22"/>
          <w:szCs w:val="22"/>
          <w:lang w:eastAsia="es-MX"/>
        </w:rPr>
      </w:pPr>
    </w:p>
    <w:p w14:paraId="48A32B01" w14:textId="4679E963" w:rsidR="001511BF" w:rsidRPr="005D12C6" w:rsidRDefault="00E16B8B" w:rsidP="001F3AA2">
      <w:pPr>
        <w:spacing w:before="0" w:after="0"/>
        <w:rPr>
          <w:rFonts w:eastAsia="Times New Roman" w:cs="Times New Roman"/>
          <w:b/>
          <w:bCs/>
          <w:color w:val="000000"/>
          <w:sz w:val="22"/>
          <w:szCs w:val="22"/>
          <w:lang w:eastAsia="es-MX"/>
        </w:rPr>
      </w:pPr>
      <w:r w:rsidRPr="005D12C6">
        <w:rPr>
          <w:rFonts w:eastAsia="Times New Roman" w:cs="Times New Roman"/>
          <w:b/>
          <w:bCs/>
          <w:color w:val="000000"/>
          <w:sz w:val="22"/>
          <w:szCs w:val="22"/>
          <w:lang w:eastAsia="es-MX"/>
        </w:rPr>
        <w:t>INVERSIONES FINANCIERAS</w:t>
      </w:r>
    </w:p>
    <w:p w14:paraId="7A3281E6" w14:textId="19901C87" w:rsidR="001F3AA2" w:rsidRPr="005D12C6" w:rsidRDefault="001F3AA2" w:rsidP="001F3AA2">
      <w:pPr>
        <w:spacing w:before="0" w:after="0"/>
        <w:rPr>
          <w:rFonts w:eastAsia="Times New Roman" w:cs="Times New Roman"/>
          <w:b/>
          <w:bCs/>
          <w:color w:val="000000"/>
          <w:sz w:val="22"/>
          <w:szCs w:val="22"/>
          <w:lang w:eastAsia="es-MX"/>
        </w:rPr>
      </w:pPr>
      <w:r w:rsidRPr="005D12C6">
        <w:rPr>
          <w:rFonts w:eastAsia="Times New Roman" w:cs="Times New Roman"/>
          <w:b/>
          <w:bCs/>
          <w:color w:val="000000"/>
          <w:sz w:val="22"/>
          <w:szCs w:val="22"/>
          <w:lang w:eastAsia="es-MX"/>
        </w:rPr>
        <w:t xml:space="preserve">6. </w:t>
      </w:r>
      <w:r w:rsidR="0029041D" w:rsidRPr="005D12C6">
        <w:rPr>
          <w:rFonts w:eastAsia="Times New Roman" w:cs="Times New Roman"/>
          <w:b/>
          <w:bCs/>
          <w:color w:val="000000"/>
          <w:sz w:val="22"/>
          <w:szCs w:val="22"/>
          <w:lang w:eastAsia="es-MX"/>
        </w:rPr>
        <w:t xml:space="preserve">INVERSIONES FINANCIERAS, </w:t>
      </w:r>
      <w:r w:rsidRPr="005D12C6">
        <w:rPr>
          <w:rFonts w:eastAsia="Times New Roman" w:cs="Times New Roman"/>
          <w:b/>
          <w:bCs/>
          <w:color w:val="000000"/>
          <w:sz w:val="22"/>
          <w:szCs w:val="22"/>
          <w:lang w:eastAsia="es-MX"/>
        </w:rPr>
        <w:t>FIDEICOMISOS, MANDATOS Y ANÁLOGOS</w:t>
      </w:r>
    </w:p>
    <w:p w14:paraId="21A5AD7F" w14:textId="3D73FB3C" w:rsidR="001F3AA2" w:rsidRPr="005D12C6" w:rsidRDefault="001F3AA2" w:rsidP="00464F99">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De dichos montos, las inversiones Financieras a largo plazo se integran por </w:t>
      </w:r>
      <w:r w:rsidR="002C2F61" w:rsidRPr="005D12C6">
        <w:rPr>
          <w:rFonts w:eastAsia="Times New Roman" w:cs="Times New Roman"/>
          <w:color w:val="000000"/>
          <w:sz w:val="22"/>
          <w:szCs w:val="22"/>
          <w:lang w:eastAsia="es-MX"/>
        </w:rPr>
        <w:t>29</w:t>
      </w:r>
      <w:r w:rsidRPr="005D12C6">
        <w:rPr>
          <w:rFonts w:eastAsia="Times New Roman" w:cs="Times New Roman"/>
          <w:color w:val="000000"/>
          <w:sz w:val="22"/>
          <w:szCs w:val="22"/>
          <w:lang w:eastAsia="es-MX"/>
        </w:rPr>
        <w:t xml:space="preserve"> mil </w:t>
      </w:r>
      <w:r w:rsidR="0081589A" w:rsidRPr="005D12C6">
        <w:rPr>
          <w:rFonts w:eastAsia="Times New Roman" w:cs="Times New Roman"/>
          <w:color w:val="000000"/>
          <w:sz w:val="22"/>
          <w:szCs w:val="22"/>
          <w:lang w:eastAsia="es-MX"/>
        </w:rPr>
        <w:t>9</w:t>
      </w:r>
      <w:r w:rsidR="007A0C98" w:rsidRPr="005D12C6">
        <w:rPr>
          <w:rFonts w:eastAsia="Times New Roman" w:cs="Times New Roman"/>
          <w:color w:val="000000"/>
          <w:sz w:val="22"/>
          <w:szCs w:val="22"/>
          <w:lang w:eastAsia="es-MX"/>
        </w:rPr>
        <w:t>59</w:t>
      </w:r>
      <w:r w:rsidRPr="005D12C6">
        <w:rPr>
          <w:rFonts w:eastAsia="Times New Roman" w:cs="Times New Roman"/>
          <w:color w:val="000000"/>
          <w:sz w:val="22"/>
          <w:szCs w:val="22"/>
          <w:lang w:eastAsia="es-MX"/>
        </w:rPr>
        <w:t xml:space="preserve"> millones </w:t>
      </w:r>
      <w:r w:rsidR="007A0C98" w:rsidRPr="005D12C6">
        <w:rPr>
          <w:rFonts w:eastAsia="Times New Roman" w:cs="Times New Roman"/>
          <w:color w:val="000000"/>
          <w:sz w:val="22"/>
          <w:szCs w:val="22"/>
          <w:lang w:eastAsia="es-MX"/>
        </w:rPr>
        <w:t>681</w:t>
      </w:r>
      <w:r w:rsidRPr="005D12C6">
        <w:rPr>
          <w:rFonts w:eastAsia="Times New Roman" w:cs="Times New Roman"/>
          <w:color w:val="000000"/>
          <w:sz w:val="22"/>
          <w:szCs w:val="22"/>
          <w:lang w:eastAsia="es-MX"/>
        </w:rPr>
        <w:t xml:space="preserve"> mil </w:t>
      </w:r>
      <w:r w:rsidR="007A0C98" w:rsidRPr="005D12C6">
        <w:rPr>
          <w:rFonts w:eastAsia="Times New Roman" w:cs="Times New Roman"/>
          <w:color w:val="000000"/>
          <w:sz w:val="22"/>
          <w:szCs w:val="22"/>
          <w:lang w:eastAsia="es-MX"/>
        </w:rPr>
        <w:t>563</w:t>
      </w:r>
      <w:r w:rsidRPr="005D12C6">
        <w:rPr>
          <w:rFonts w:eastAsia="Times New Roman" w:cs="Times New Roman"/>
          <w:color w:val="000000"/>
          <w:sz w:val="22"/>
          <w:szCs w:val="22"/>
          <w:lang w:eastAsia="es-MX"/>
        </w:rPr>
        <w:t xml:space="preserve"> pesos</w:t>
      </w:r>
      <w:r w:rsidR="00141BDE" w:rsidRPr="005D12C6">
        <w:rPr>
          <w:rFonts w:eastAsia="Times New Roman" w:cs="Times New Roman"/>
          <w:color w:val="000000"/>
          <w:sz w:val="22"/>
          <w:szCs w:val="22"/>
          <w:lang w:eastAsia="es-MX"/>
        </w:rPr>
        <w:t xml:space="preserve"> 62 centavos</w:t>
      </w:r>
      <w:r w:rsidRPr="005D12C6">
        <w:rPr>
          <w:rFonts w:eastAsia="Times New Roman" w:cs="Times New Roman"/>
          <w:color w:val="000000"/>
          <w:sz w:val="22"/>
          <w:szCs w:val="22"/>
          <w:lang w:eastAsia="es-MX"/>
        </w:rPr>
        <w:t xml:space="preserve"> que se muestran como sigue: </w:t>
      </w:r>
    </w:p>
    <w:p w14:paraId="5E629958" w14:textId="74A13718" w:rsidR="00094A75" w:rsidRPr="005D12C6" w:rsidRDefault="007A0C98" w:rsidP="00464F99">
      <w:pPr>
        <w:widowControl w:val="0"/>
        <w:kinsoku w:val="0"/>
        <w:spacing w:before="0" w:after="0"/>
        <w:contextualSpacing/>
        <w:rPr>
          <w:rFonts w:eastAsia="Times New Roman" w:cs="Times New Roman"/>
          <w:color w:val="000000"/>
          <w:sz w:val="22"/>
          <w:szCs w:val="22"/>
          <w:lang w:eastAsia="es-MX"/>
        </w:rPr>
      </w:pPr>
      <w:r w:rsidRPr="005D12C6">
        <w:rPr>
          <w:noProof/>
          <w:lang w:val="es-MX" w:eastAsia="es-MX"/>
        </w:rPr>
        <w:drawing>
          <wp:inline distT="0" distB="0" distL="0" distR="0" wp14:anchorId="11916E8A" wp14:editId="502C4222">
            <wp:extent cx="6351270" cy="465651"/>
            <wp:effectExtent l="0" t="0" r="0" b="0"/>
            <wp:docPr id="74557982" name="Imagen 7455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270" cy="465651"/>
                    </a:xfrm>
                    <a:prstGeom prst="rect">
                      <a:avLst/>
                    </a:prstGeom>
                    <a:noFill/>
                    <a:ln>
                      <a:noFill/>
                    </a:ln>
                  </pic:spPr>
                </pic:pic>
              </a:graphicData>
            </a:graphic>
          </wp:inline>
        </w:drawing>
      </w:r>
    </w:p>
    <w:p w14:paraId="677B71D8" w14:textId="0C04E73F" w:rsidR="00E51721" w:rsidRPr="005D12C6" w:rsidRDefault="00C44740" w:rsidP="001F3AA2">
      <w:pPr>
        <w:spacing w:before="0" w:after="0"/>
        <w:rPr>
          <w:noProof/>
          <w:lang w:val="es-MX" w:eastAsia="es-MX"/>
        </w:rPr>
      </w:pPr>
      <w:r w:rsidRPr="005D12C6">
        <w:rPr>
          <w:rFonts w:eastAsia="Times New Roman" w:cs="Times New Roman"/>
          <w:color w:val="000000"/>
          <w:sz w:val="22"/>
          <w:szCs w:val="22"/>
          <w:lang w:eastAsia="es-MX"/>
        </w:rPr>
        <w:t>De la cuenta de Fideicomisos, mandatos y análogos</w:t>
      </w:r>
      <w:r w:rsidR="008B1490" w:rsidRPr="005D12C6">
        <w:rPr>
          <w:rFonts w:eastAsia="Times New Roman" w:cs="Times New Roman"/>
          <w:color w:val="000000"/>
          <w:sz w:val="22"/>
          <w:szCs w:val="22"/>
          <w:lang w:eastAsia="es-MX"/>
        </w:rPr>
        <w:t xml:space="preserve">, por 8 mil </w:t>
      </w:r>
      <w:r w:rsidR="00362EEC" w:rsidRPr="005D12C6">
        <w:rPr>
          <w:rFonts w:eastAsia="Times New Roman" w:cs="Times New Roman"/>
          <w:color w:val="000000"/>
          <w:sz w:val="22"/>
          <w:szCs w:val="22"/>
          <w:lang w:eastAsia="es-MX"/>
        </w:rPr>
        <w:t>4</w:t>
      </w:r>
      <w:r w:rsidR="00064BA1" w:rsidRPr="005D12C6">
        <w:rPr>
          <w:rFonts w:eastAsia="Times New Roman" w:cs="Times New Roman"/>
          <w:color w:val="000000"/>
          <w:sz w:val="22"/>
          <w:szCs w:val="22"/>
          <w:lang w:eastAsia="es-MX"/>
        </w:rPr>
        <w:t>90</w:t>
      </w:r>
      <w:r w:rsidR="008B1490" w:rsidRPr="005D12C6">
        <w:rPr>
          <w:rFonts w:eastAsia="Times New Roman" w:cs="Times New Roman"/>
          <w:color w:val="000000"/>
          <w:sz w:val="22"/>
          <w:szCs w:val="22"/>
          <w:lang w:eastAsia="es-MX"/>
        </w:rPr>
        <w:t xml:space="preserve"> millones </w:t>
      </w:r>
      <w:r w:rsidR="00064BA1" w:rsidRPr="005D12C6">
        <w:rPr>
          <w:rFonts w:eastAsia="Times New Roman" w:cs="Times New Roman"/>
          <w:color w:val="000000"/>
          <w:sz w:val="22"/>
          <w:szCs w:val="22"/>
          <w:lang w:eastAsia="es-MX"/>
        </w:rPr>
        <w:t>71</w:t>
      </w:r>
      <w:r w:rsidR="008B1490" w:rsidRPr="005D12C6">
        <w:rPr>
          <w:rFonts w:eastAsia="Times New Roman" w:cs="Times New Roman"/>
          <w:color w:val="000000"/>
          <w:sz w:val="22"/>
          <w:szCs w:val="22"/>
          <w:lang w:eastAsia="es-MX"/>
        </w:rPr>
        <w:t xml:space="preserve"> mil </w:t>
      </w:r>
      <w:r w:rsidR="00064BA1" w:rsidRPr="005D12C6">
        <w:rPr>
          <w:rFonts w:eastAsia="Times New Roman" w:cs="Times New Roman"/>
          <w:color w:val="000000"/>
          <w:sz w:val="22"/>
          <w:szCs w:val="22"/>
          <w:lang w:eastAsia="es-MX"/>
        </w:rPr>
        <w:t>387</w:t>
      </w:r>
      <w:r w:rsidR="008B1490" w:rsidRPr="005D12C6">
        <w:rPr>
          <w:rFonts w:eastAsia="Times New Roman" w:cs="Times New Roman"/>
          <w:color w:val="000000"/>
          <w:sz w:val="22"/>
          <w:szCs w:val="22"/>
          <w:lang w:eastAsia="es-MX"/>
        </w:rPr>
        <w:t xml:space="preserve"> pesos</w:t>
      </w:r>
      <w:r w:rsidR="00064BA1" w:rsidRPr="005D12C6">
        <w:rPr>
          <w:rFonts w:eastAsia="Times New Roman" w:cs="Times New Roman"/>
          <w:color w:val="000000"/>
          <w:sz w:val="22"/>
          <w:szCs w:val="22"/>
          <w:lang w:eastAsia="es-MX"/>
        </w:rPr>
        <w:t xml:space="preserve"> 86 centavos</w:t>
      </w:r>
      <w:r w:rsidR="00E51721" w:rsidRPr="005D12C6">
        <w:rPr>
          <w:rFonts w:eastAsia="Times New Roman" w:cs="Times New Roman"/>
          <w:color w:val="000000"/>
          <w:sz w:val="22"/>
          <w:szCs w:val="22"/>
          <w:lang w:eastAsia="es-MX"/>
        </w:rPr>
        <w:t>, de los cuales 1 mil 1</w:t>
      </w:r>
      <w:r w:rsidR="00064BA1" w:rsidRPr="005D12C6">
        <w:rPr>
          <w:rFonts w:eastAsia="Times New Roman" w:cs="Times New Roman"/>
          <w:color w:val="000000"/>
          <w:sz w:val="22"/>
          <w:szCs w:val="22"/>
          <w:lang w:eastAsia="es-MX"/>
        </w:rPr>
        <w:t>57</w:t>
      </w:r>
      <w:r w:rsidR="00E51721" w:rsidRPr="005D12C6">
        <w:rPr>
          <w:rFonts w:eastAsia="Times New Roman" w:cs="Times New Roman"/>
          <w:color w:val="000000"/>
          <w:sz w:val="22"/>
          <w:szCs w:val="22"/>
          <w:lang w:eastAsia="es-MX"/>
        </w:rPr>
        <w:t xml:space="preserve"> millones </w:t>
      </w:r>
      <w:r w:rsidR="00064BA1" w:rsidRPr="005D12C6">
        <w:rPr>
          <w:rFonts w:eastAsia="Times New Roman" w:cs="Times New Roman"/>
          <w:color w:val="000000"/>
          <w:sz w:val="22"/>
          <w:szCs w:val="22"/>
          <w:lang w:eastAsia="es-MX"/>
        </w:rPr>
        <w:t>974</w:t>
      </w:r>
      <w:r w:rsidR="00E51721" w:rsidRPr="005D12C6">
        <w:rPr>
          <w:rFonts w:eastAsia="Times New Roman" w:cs="Times New Roman"/>
          <w:color w:val="000000"/>
          <w:sz w:val="22"/>
          <w:szCs w:val="22"/>
          <w:lang w:eastAsia="es-MX"/>
        </w:rPr>
        <w:t xml:space="preserve"> mil </w:t>
      </w:r>
      <w:r w:rsidR="00064BA1" w:rsidRPr="005D12C6">
        <w:rPr>
          <w:rFonts w:eastAsia="Times New Roman" w:cs="Times New Roman"/>
          <w:color w:val="000000"/>
          <w:sz w:val="22"/>
          <w:szCs w:val="22"/>
          <w:lang w:eastAsia="es-MX"/>
        </w:rPr>
        <w:t>285</w:t>
      </w:r>
      <w:r w:rsidR="00E51721" w:rsidRPr="005D12C6">
        <w:rPr>
          <w:rFonts w:eastAsia="Times New Roman" w:cs="Times New Roman"/>
          <w:color w:val="000000"/>
          <w:sz w:val="22"/>
          <w:szCs w:val="22"/>
          <w:lang w:eastAsia="es-MX"/>
        </w:rPr>
        <w:t xml:space="preserve"> pesos</w:t>
      </w:r>
      <w:r w:rsidR="00064BA1" w:rsidRPr="005D12C6">
        <w:rPr>
          <w:rFonts w:eastAsia="Times New Roman" w:cs="Times New Roman"/>
          <w:color w:val="000000"/>
          <w:sz w:val="22"/>
          <w:szCs w:val="22"/>
          <w:lang w:eastAsia="es-MX"/>
        </w:rPr>
        <w:t xml:space="preserve"> 65 centavos</w:t>
      </w:r>
      <w:r w:rsidR="00E51721" w:rsidRPr="005D12C6">
        <w:rPr>
          <w:rFonts w:eastAsia="Times New Roman" w:cs="Times New Roman"/>
          <w:color w:val="000000"/>
          <w:sz w:val="22"/>
          <w:szCs w:val="22"/>
          <w:lang w:eastAsia="es-MX"/>
        </w:rPr>
        <w:t xml:space="preserve"> corresponde a fideicomisos financieros destinados a garantizar el pago de la deuda pública y</w:t>
      </w:r>
      <w:r w:rsidRPr="005D12C6">
        <w:rPr>
          <w:rFonts w:eastAsia="Times New Roman" w:cs="Times New Roman"/>
          <w:color w:val="000000"/>
          <w:sz w:val="22"/>
          <w:szCs w:val="22"/>
          <w:lang w:eastAsia="es-MX"/>
        </w:rPr>
        <w:t xml:space="preserve"> </w:t>
      </w:r>
      <w:r w:rsidR="00E51721" w:rsidRPr="005D12C6">
        <w:rPr>
          <w:noProof/>
          <w:lang w:val="es-MX" w:eastAsia="es-MX"/>
        </w:rPr>
        <w:t>7 mil 3</w:t>
      </w:r>
      <w:r w:rsidR="000B5408" w:rsidRPr="005D12C6">
        <w:rPr>
          <w:noProof/>
          <w:lang w:val="es-MX" w:eastAsia="es-MX"/>
        </w:rPr>
        <w:t>32</w:t>
      </w:r>
      <w:r w:rsidR="00E51721" w:rsidRPr="005D12C6">
        <w:rPr>
          <w:noProof/>
          <w:lang w:val="es-MX" w:eastAsia="es-MX"/>
        </w:rPr>
        <w:t xml:space="preserve"> millones </w:t>
      </w:r>
      <w:r w:rsidR="000B5408" w:rsidRPr="005D12C6">
        <w:rPr>
          <w:noProof/>
          <w:lang w:val="es-MX" w:eastAsia="es-MX"/>
        </w:rPr>
        <w:t>97</w:t>
      </w:r>
      <w:r w:rsidR="00E51721" w:rsidRPr="005D12C6">
        <w:rPr>
          <w:noProof/>
          <w:lang w:val="es-MX" w:eastAsia="es-MX"/>
        </w:rPr>
        <w:t xml:space="preserve"> mil </w:t>
      </w:r>
      <w:r w:rsidR="000B5408" w:rsidRPr="005D12C6">
        <w:rPr>
          <w:noProof/>
          <w:lang w:val="es-MX" w:eastAsia="es-MX"/>
        </w:rPr>
        <w:t>102</w:t>
      </w:r>
      <w:r w:rsidR="00E51721" w:rsidRPr="005D12C6">
        <w:rPr>
          <w:noProof/>
          <w:lang w:val="es-MX" w:eastAsia="es-MX"/>
        </w:rPr>
        <w:t xml:space="preserve"> pesos</w:t>
      </w:r>
      <w:r w:rsidR="00064BA1" w:rsidRPr="005D12C6">
        <w:rPr>
          <w:noProof/>
          <w:lang w:val="es-MX" w:eastAsia="es-MX"/>
        </w:rPr>
        <w:t xml:space="preserve"> 21 centavos</w:t>
      </w:r>
      <w:r w:rsidR="00E51721" w:rsidRPr="005D12C6">
        <w:rPr>
          <w:noProof/>
          <w:lang w:val="es-MX" w:eastAsia="es-MX"/>
        </w:rPr>
        <w:t xml:space="preserve"> corresponden a fideicomisos no financieros destinados a objetivos específicos, </w:t>
      </w:r>
      <w:r w:rsidR="00A64C7C" w:rsidRPr="005D12C6">
        <w:rPr>
          <w:noProof/>
          <w:lang w:val="es-MX" w:eastAsia="es-MX"/>
        </w:rPr>
        <w:t>los cuales se detallan en el cuadro siguiente:</w:t>
      </w:r>
    </w:p>
    <w:p w14:paraId="12EF36D0" w14:textId="5E37D459" w:rsidR="00E51721" w:rsidRPr="005D12C6" w:rsidRDefault="00064BA1" w:rsidP="001F3AA2">
      <w:pPr>
        <w:spacing w:before="0" w:after="0"/>
        <w:rPr>
          <w:noProof/>
          <w:lang w:val="es-MX" w:eastAsia="es-MX"/>
        </w:rPr>
      </w:pPr>
      <w:r w:rsidRPr="005D12C6">
        <w:rPr>
          <w:noProof/>
          <w:lang w:val="es-MX" w:eastAsia="es-MX"/>
        </w:rPr>
        <w:drawing>
          <wp:inline distT="0" distB="0" distL="0" distR="0" wp14:anchorId="57DEE483" wp14:editId="108CD1E2">
            <wp:extent cx="6351270" cy="2984124"/>
            <wp:effectExtent l="0" t="0" r="0" b="6985"/>
            <wp:docPr id="74557983" name="Imagen 7455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2984124"/>
                    </a:xfrm>
                    <a:prstGeom prst="rect">
                      <a:avLst/>
                    </a:prstGeom>
                    <a:noFill/>
                    <a:ln>
                      <a:noFill/>
                    </a:ln>
                  </pic:spPr>
                </pic:pic>
              </a:graphicData>
            </a:graphic>
          </wp:inline>
        </w:drawing>
      </w:r>
    </w:p>
    <w:p w14:paraId="68661E94" w14:textId="77777777" w:rsidR="00E51721" w:rsidRPr="005D12C6" w:rsidRDefault="00E51721" w:rsidP="001F3AA2">
      <w:pPr>
        <w:spacing w:before="0" w:after="0"/>
        <w:rPr>
          <w:noProof/>
          <w:lang w:val="es-MX" w:eastAsia="es-MX"/>
        </w:rPr>
      </w:pPr>
    </w:p>
    <w:p w14:paraId="7318E9DD" w14:textId="53D8F044" w:rsidR="00207781" w:rsidRPr="005D12C6" w:rsidRDefault="00207781" w:rsidP="00207781">
      <w:pPr>
        <w:spacing w:before="0" w:after="0"/>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064BA1" w:rsidRPr="005D12C6">
        <w:rPr>
          <w:rFonts w:eastAsia="Times New Roman" w:cs="Times New Roman"/>
          <w:bCs/>
          <w:color w:val="000000"/>
          <w:sz w:val="22"/>
          <w:szCs w:val="22"/>
          <w:lang w:eastAsia="es-MX"/>
        </w:rPr>
        <w:t>12</w:t>
      </w:r>
      <w:r w:rsidRPr="005D12C6">
        <w:rPr>
          <w:rFonts w:eastAsia="Times New Roman" w:cs="Times New Roman"/>
          <w:bCs/>
          <w:color w:val="000000"/>
          <w:sz w:val="22"/>
          <w:szCs w:val="22"/>
          <w:lang w:eastAsia="es-MX"/>
        </w:rPr>
        <w:t xml:space="preserve"> millones </w:t>
      </w:r>
      <w:r w:rsidR="00064BA1" w:rsidRPr="005D12C6">
        <w:rPr>
          <w:rFonts w:eastAsia="Times New Roman" w:cs="Times New Roman"/>
          <w:bCs/>
          <w:color w:val="000000"/>
          <w:sz w:val="22"/>
          <w:szCs w:val="22"/>
          <w:lang w:eastAsia="es-MX"/>
        </w:rPr>
        <w:t>741</w:t>
      </w:r>
      <w:r w:rsidRPr="005D12C6">
        <w:rPr>
          <w:rFonts w:eastAsia="Times New Roman" w:cs="Times New Roman"/>
          <w:bCs/>
          <w:color w:val="000000"/>
          <w:sz w:val="22"/>
          <w:szCs w:val="22"/>
          <w:lang w:eastAsia="es-MX"/>
        </w:rPr>
        <w:t xml:space="preserve"> mil </w:t>
      </w:r>
      <w:r w:rsidR="00064BA1" w:rsidRPr="005D12C6">
        <w:rPr>
          <w:rFonts w:eastAsia="Times New Roman" w:cs="Times New Roman"/>
          <w:bCs/>
          <w:color w:val="000000"/>
          <w:sz w:val="22"/>
          <w:szCs w:val="22"/>
          <w:lang w:eastAsia="es-MX"/>
        </w:rPr>
        <w:t>622</w:t>
      </w:r>
      <w:r w:rsidR="00094A75" w:rsidRPr="005D12C6">
        <w:rPr>
          <w:rFonts w:eastAsia="Times New Roman" w:cs="Times New Roman"/>
          <w:bCs/>
          <w:color w:val="000000"/>
          <w:sz w:val="22"/>
          <w:szCs w:val="22"/>
          <w:lang w:eastAsia="es-MX"/>
        </w:rPr>
        <w:t xml:space="preserve"> </w:t>
      </w:r>
      <w:r w:rsidRPr="005D12C6">
        <w:rPr>
          <w:rFonts w:eastAsia="Times New Roman" w:cs="Times New Roman"/>
          <w:bCs/>
          <w:color w:val="000000"/>
          <w:sz w:val="22"/>
          <w:szCs w:val="22"/>
          <w:lang w:eastAsia="es-MX"/>
        </w:rPr>
        <w:t>pesos</w:t>
      </w:r>
      <w:r w:rsidR="00064BA1" w:rsidRPr="005D12C6">
        <w:rPr>
          <w:rFonts w:eastAsia="Times New Roman" w:cs="Times New Roman"/>
          <w:bCs/>
          <w:color w:val="000000"/>
          <w:sz w:val="22"/>
          <w:szCs w:val="22"/>
          <w:lang w:eastAsia="es-MX"/>
        </w:rPr>
        <w:t xml:space="preserve"> 25 centavos</w:t>
      </w:r>
      <w:r w:rsidRPr="005D12C6">
        <w:rPr>
          <w:rFonts w:eastAsia="Times New Roman" w:cs="Times New Roman"/>
          <w:bCs/>
          <w:color w:val="000000"/>
          <w:sz w:val="22"/>
          <w:szCs w:val="22"/>
          <w:lang w:eastAsia="es-MX"/>
        </w:rPr>
        <w:t xml:space="preserve">,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0B3CE1" w:rsidRPr="005D12C6">
        <w:rPr>
          <w:rFonts w:eastAsia="Times New Roman" w:cs="Times New Roman"/>
          <w:bCs/>
          <w:color w:val="000000"/>
          <w:sz w:val="22"/>
          <w:szCs w:val="22"/>
          <w:lang w:eastAsia="es-MX"/>
        </w:rPr>
        <w:t>0.04</w:t>
      </w:r>
      <w:r w:rsidRPr="005D12C6">
        <w:rPr>
          <w:rFonts w:eastAsia="Times New Roman" w:cs="Times New Roman"/>
          <w:bCs/>
          <w:color w:val="000000"/>
          <w:sz w:val="22"/>
          <w:szCs w:val="22"/>
          <w:lang w:eastAsia="es-MX"/>
        </w:rPr>
        <w:t xml:space="preserve">% de variación total, respecto del saldo al </w:t>
      </w:r>
      <w:r w:rsidR="00053575" w:rsidRPr="005D12C6">
        <w:rPr>
          <w:rFonts w:eastAsia="Times New Roman" w:cs="Times New Roman"/>
          <w:bCs/>
          <w:color w:val="000000"/>
          <w:sz w:val="22"/>
          <w:szCs w:val="22"/>
          <w:lang w:eastAsia="es-MX"/>
        </w:rPr>
        <w:t>3</w:t>
      </w:r>
      <w:r w:rsidR="004E43B8" w:rsidRPr="005D12C6">
        <w:rPr>
          <w:rFonts w:eastAsia="Times New Roman" w:cs="Times New Roman"/>
          <w:bCs/>
          <w:color w:val="000000"/>
          <w:sz w:val="22"/>
          <w:szCs w:val="22"/>
          <w:lang w:eastAsia="es-MX"/>
        </w:rPr>
        <w:t>0</w:t>
      </w:r>
      <w:r w:rsidR="00053575" w:rsidRPr="005D12C6">
        <w:rPr>
          <w:rFonts w:eastAsia="Times New Roman" w:cs="Times New Roman"/>
          <w:bCs/>
          <w:color w:val="000000"/>
          <w:sz w:val="22"/>
          <w:szCs w:val="22"/>
          <w:lang w:eastAsia="es-MX"/>
        </w:rPr>
        <w:t xml:space="preserve"> de </w:t>
      </w:r>
      <w:r w:rsidR="009B6FBE" w:rsidRPr="005D12C6">
        <w:rPr>
          <w:rFonts w:eastAsia="Calibri" w:cs="Times New Roman"/>
          <w:sz w:val="22"/>
          <w:szCs w:val="22"/>
        </w:rPr>
        <w:t>junio</w:t>
      </w:r>
      <w:r w:rsidRPr="005D12C6">
        <w:rPr>
          <w:rFonts w:eastAsia="Times New Roman" w:cs="Times New Roman"/>
          <w:bCs/>
          <w:color w:val="000000"/>
          <w:sz w:val="22"/>
          <w:szCs w:val="22"/>
          <w:lang w:eastAsia="es-MX"/>
        </w:rPr>
        <w:t xml:space="preserve"> de 202</w:t>
      </w:r>
      <w:r w:rsidR="00FF1C4A" w:rsidRPr="005D12C6">
        <w:rPr>
          <w:rFonts w:eastAsia="Times New Roman" w:cs="Times New Roman"/>
          <w:bCs/>
          <w:color w:val="000000"/>
          <w:sz w:val="22"/>
          <w:szCs w:val="22"/>
          <w:lang w:eastAsia="es-MX"/>
        </w:rPr>
        <w:t>3</w:t>
      </w:r>
      <w:r w:rsidRPr="005D12C6">
        <w:rPr>
          <w:rFonts w:eastAsia="Times New Roman" w:cs="Times New Roman"/>
          <w:bCs/>
          <w:color w:val="000000"/>
          <w:sz w:val="22"/>
          <w:szCs w:val="22"/>
          <w:lang w:eastAsia="es-MX"/>
        </w:rPr>
        <w:t>.</w:t>
      </w:r>
    </w:p>
    <w:p w14:paraId="1C4F0647" w14:textId="77777777" w:rsidR="00207781" w:rsidRPr="005D12C6" w:rsidRDefault="00207781" w:rsidP="00207781">
      <w:pPr>
        <w:spacing w:before="0" w:after="0"/>
        <w:rPr>
          <w:rFonts w:eastAsia="Times New Roman" w:cs="Times New Roman"/>
          <w:b/>
          <w:color w:val="000000"/>
          <w:sz w:val="22"/>
          <w:szCs w:val="22"/>
          <w:lang w:eastAsia="es-MX"/>
        </w:rPr>
      </w:pPr>
    </w:p>
    <w:p w14:paraId="4071F319" w14:textId="1740719D" w:rsidR="00C86007" w:rsidRPr="005D12C6" w:rsidRDefault="00C86007" w:rsidP="00B82D70">
      <w:pPr>
        <w:spacing w:before="120" w:after="120"/>
        <w:rPr>
          <w:rFonts w:eastAsia="Calibri" w:cs="Times New Roman"/>
          <w:b/>
          <w:sz w:val="22"/>
          <w:szCs w:val="22"/>
        </w:rPr>
      </w:pPr>
      <w:r w:rsidRPr="005D12C6">
        <w:rPr>
          <w:rFonts w:eastAsia="Calibri" w:cs="Times New Roman"/>
          <w:b/>
          <w:sz w:val="22"/>
          <w:szCs w:val="22"/>
        </w:rPr>
        <w:t xml:space="preserve">7. </w:t>
      </w:r>
      <w:r w:rsidR="00E525B0" w:rsidRPr="005D12C6">
        <w:rPr>
          <w:rFonts w:eastAsia="Calibri" w:cs="Times New Roman"/>
          <w:b/>
          <w:sz w:val="22"/>
          <w:szCs w:val="22"/>
        </w:rPr>
        <w:t>SALDOS DE LAS PARTICIPACIONES Y APORTACIONES DE CAPITAL</w:t>
      </w:r>
    </w:p>
    <w:p w14:paraId="0FE5E2FF" w14:textId="47AB3C36" w:rsidR="00207781" w:rsidRPr="005D12C6" w:rsidRDefault="00B82D70" w:rsidP="00592775">
      <w:pPr>
        <w:spacing w:before="120" w:after="120"/>
        <w:rPr>
          <w:rFonts w:eastAsia="Calibri" w:cs="Times New Roman"/>
          <w:bCs/>
          <w:sz w:val="22"/>
          <w:szCs w:val="22"/>
        </w:rPr>
      </w:pPr>
      <w:r w:rsidRPr="005D12C6">
        <w:rPr>
          <w:rFonts w:eastAsia="Calibri" w:cs="Times New Roman"/>
          <w:bCs/>
          <w:sz w:val="22"/>
          <w:szCs w:val="22"/>
        </w:rPr>
        <w:t xml:space="preserve">Se informa la integración del saldo al </w:t>
      </w:r>
      <w:r w:rsidR="00053575" w:rsidRPr="005D12C6">
        <w:rPr>
          <w:rFonts w:eastAsia="Calibri" w:cs="Times New Roman"/>
          <w:bCs/>
          <w:sz w:val="22"/>
          <w:szCs w:val="22"/>
        </w:rPr>
        <w:t>3</w:t>
      </w:r>
      <w:r w:rsidR="004E43B8" w:rsidRPr="005D12C6">
        <w:rPr>
          <w:rFonts w:eastAsia="Calibri" w:cs="Times New Roman"/>
          <w:bCs/>
          <w:sz w:val="22"/>
          <w:szCs w:val="22"/>
        </w:rPr>
        <w:t>0</w:t>
      </w:r>
      <w:r w:rsidR="00053575" w:rsidRPr="005D12C6">
        <w:rPr>
          <w:rFonts w:eastAsia="Calibri" w:cs="Times New Roman"/>
          <w:bCs/>
          <w:sz w:val="22"/>
          <w:szCs w:val="22"/>
        </w:rPr>
        <w:t xml:space="preserve"> de </w:t>
      </w:r>
      <w:r w:rsidR="009B6FBE" w:rsidRPr="005D12C6">
        <w:rPr>
          <w:rFonts w:eastAsia="Calibri" w:cs="Times New Roman"/>
          <w:sz w:val="22"/>
          <w:szCs w:val="22"/>
        </w:rPr>
        <w:t>junio</w:t>
      </w:r>
      <w:r w:rsidR="00695FB7" w:rsidRPr="005D12C6">
        <w:rPr>
          <w:rFonts w:eastAsia="Calibri" w:cs="Times New Roman"/>
          <w:bCs/>
          <w:sz w:val="22"/>
          <w:szCs w:val="22"/>
        </w:rPr>
        <w:t xml:space="preserve"> </w:t>
      </w:r>
      <w:r w:rsidRPr="005D12C6">
        <w:rPr>
          <w:rFonts w:eastAsia="Calibri" w:cs="Times New Roman"/>
          <w:bCs/>
          <w:sz w:val="22"/>
          <w:szCs w:val="22"/>
        </w:rPr>
        <w:t>de 202</w:t>
      </w:r>
      <w:r w:rsidR="00FF1C4A" w:rsidRPr="005D12C6">
        <w:rPr>
          <w:rFonts w:eastAsia="Calibri" w:cs="Times New Roman"/>
          <w:bCs/>
          <w:sz w:val="22"/>
          <w:szCs w:val="22"/>
        </w:rPr>
        <w:t>4</w:t>
      </w:r>
      <w:r w:rsidRPr="005D12C6">
        <w:rPr>
          <w:rFonts w:eastAsia="Calibri" w:cs="Times New Roman"/>
          <w:bCs/>
          <w:sz w:val="22"/>
          <w:szCs w:val="22"/>
        </w:rPr>
        <w:t xml:space="preserve"> de la cuenta de Participaciones y Aportaciones de Capital</w:t>
      </w:r>
      <w:r w:rsidR="00C86007" w:rsidRPr="005D12C6">
        <w:rPr>
          <w:rFonts w:eastAsia="Calibri" w:cs="Times New Roman"/>
          <w:bCs/>
          <w:sz w:val="22"/>
          <w:szCs w:val="22"/>
        </w:rPr>
        <w:t xml:space="preserve">, por </w:t>
      </w:r>
      <w:r w:rsidR="004725E4" w:rsidRPr="005D12C6">
        <w:rPr>
          <w:rFonts w:eastAsia="Calibri" w:cs="Times New Roman"/>
          <w:bCs/>
          <w:sz w:val="22"/>
          <w:szCs w:val="22"/>
        </w:rPr>
        <w:t>2</w:t>
      </w:r>
      <w:r w:rsidR="00892C9F" w:rsidRPr="005D12C6">
        <w:rPr>
          <w:rFonts w:eastAsia="Calibri" w:cs="Times New Roman"/>
          <w:bCs/>
          <w:sz w:val="22"/>
          <w:szCs w:val="22"/>
        </w:rPr>
        <w:t>1</w:t>
      </w:r>
      <w:r w:rsidR="00C86007" w:rsidRPr="005D12C6">
        <w:rPr>
          <w:rFonts w:eastAsia="Calibri" w:cs="Times New Roman"/>
          <w:bCs/>
          <w:sz w:val="22"/>
          <w:szCs w:val="22"/>
        </w:rPr>
        <w:t xml:space="preserve"> mil </w:t>
      </w:r>
      <w:r w:rsidR="00892C9F" w:rsidRPr="005D12C6">
        <w:rPr>
          <w:rFonts w:eastAsia="Calibri" w:cs="Times New Roman"/>
          <w:bCs/>
          <w:sz w:val="22"/>
          <w:szCs w:val="22"/>
        </w:rPr>
        <w:t>469</w:t>
      </w:r>
      <w:r w:rsidR="00C86007" w:rsidRPr="005D12C6">
        <w:rPr>
          <w:rFonts w:eastAsia="Calibri" w:cs="Times New Roman"/>
          <w:bCs/>
          <w:sz w:val="22"/>
          <w:szCs w:val="22"/>
        </w:rPr>
        <w:t xml:space="preserve"> millones </w:t>
      </w:r>
      <w:r w:rsidR="00892C9F" w:rsidRPr="005D12C6">
        <w:rPr>
          <w:rFonts w:eastAsia="Calibri" w:cs="Times New Roman"/>
          <w:bCs/>
          <w:sz w:val="22"/>
          <w:szCs w:val="22"/>
        </w:rPr>
        <w:t>610</w:t>
      </w:r>
      <w:r w:rsidR="00C86007" w:rsidRPr="005D12C6">
        <w:rPr>
          <w:rFonts w:eastAsia="Calibri" w:cs="Times New Roman"/>
          <w:bCs/>
          <w:sz w:val="22"/>
          <w:szCs w:val="22"/>
        </w:rPr>
        <w:t xml:space="preserve"> mil </w:t>
      </w:r>
      <w:r w:rsidR="000B3CE1" w:rsidRPr="005D12C6">
        <w:rPr>
          <w:rFonts w:eastAsia="Calibri" w:cs="Times New Roman"/>
          <w:bCs/>
          <w:sz w:val="22"/>
          <w:szCs w:val="22"/>
        </w:rPr>
        <w:t>175</w:t>
      </w:r>
      <w:r w:rsidR="00C86007" w:rsidRPr="005D12C6">
        <w:rPr>
          <w:rFonts w:eastAsia="Calibri" w:cs="Times New Roman"/>
          <w:bCs/>
          <w:sz w:val="22"/>
          <w:szCs w:val="22"/>
        </w:rPr>
        <w:t xml:space="preserve"> pesos</w:t>
      </w:r>
      <w:r w:rsidR="000B3CE1" w:rsidRPr="005D12C6">
        <w:rPr>
          <w:rFonts w:eastAsia="Calibri" w:cs="Times New Roman"/>
          <w:bCs/>
          <w:sz w:val="22"/>
          <w:szCs w:val="22"/>
        </w:rPr>
        <w:t xml:space="preserve"> 76 centavos</w:t>
      </w:r>
      <w:r w:rsidR="00207781" w:rsidRPr="005D12C6">
        <w:rPr>
          <w:rFonts w:eastAsia="Calibri" w:cs="Times New Roman"/>
          <w:bCs/>
          <w:sz w:val="22"/>
          <w:szCs w:val="22"/>
        </w:rPr>
        <w:t>.</w:t>
      </w:r>
      <w:r w:rsidRPr="005D12C6">
        <w:rPr>
          <w:rFonts w:eastAsia="Calibri" w:cs="Times New Roman"/>
          <w:bCs/>
          <w:sz w:val="22"/>
          <w:szCs w:val="22"/>
        </w:rPr>
        <w:t xml:space="preserve"> </w:t>
      </w:r>
    </w:p>
    <w:p w14:paraId="00CBF263" w14:textId="2D7D42BC" w:rsidR="00207781" w:rsidRPr="005D12C6" w:rsidRDefault="00592775" w:rsidP="00207781">
      <w:pPr>
        <w:spacing w:before="0" w:after="0"/>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El respaldo correspondiente a dich</w:t>
      </w:r>
      <w:r w:rsidR="00573EBA" w:rsidRPr="005D12C6">
        <w:rPr>
          <w:rFonts w:eastAsia="Times New Roman" w:cs="Times New Roman"/>
          <w:bCs/>
          <w:color w:val="000000"/>
          <w:sz w:val="22"/>
          <w:szCs w:val="22"/>
          <w:lang w:eastAsia="es-MX"/>
        </w:rPr>
        <w:t>o</w:t>
      </w:r>
      <w:r w:rsidRPr="005D12C6">
        <w:rPr>
          <w:rFonts w:eastAsia="Times New Roman" w:cs="Times New Roman"/>
          <w:bCs/>
          <w:color w:val="000000"/>
          <w:sz w:val="22"/>
          <w:szCs w:val="22"/>
          <w:lang w:eastAsia="es-MX"/>
        </w:rPr>
        <w:t xml:space="preserve"> </w:t>
      </w:r>
      <w:r w:rsidR="00573EBA" w:rsidRPr="005D12C6">
        <w:rPr>
          <w:rFonts w:eastAsia="Times New Roman" w:cs="Times New Roman"/>
          <w:bCs/>
          <w:color w:val="000000"/>
          <w:sz w:val="22"/>
          <w:szCs w:val="22"/>
          <w:lang w:eastAsia="es-MX"/>
        </w:rPr>
        <w:t>saldo</w:t>
      </w:r>
      <w:r w:rsidRPr="005D12C6">
        <w:rPr>
          <w:rFonts w:eastAsia="Times New Roman" w:cs="Times New Roman"/>
          <w:bCs/>
          <w:color w:val="000000"/>
          <w:sz w:val="22"/>
          <w:szCs w:val="22"/>
          <w:lang w:eastAsia="es-MX"/>
        </w:rPr>
        <w:t xml:space="preserve"> consiste en </w:t>
      </w:r>
      <w:r w:rsidR="00573EBA" w:rsidRPr="005D12C6">
        <w:rPr>
          <w:rFonts w:eastAsia="Times New Roman" w:cs="Times New Roman"/>
          <w:bCs/>
          <w:color w:val="000000"/>
          <w:sz w:val="22"/>
          <w:szCs w:val="22"/>
          <w:lang w:eastAsia="es-MX"/>
        </w:rPr>
        <w:t xml:space="preserve">las cifras de </w:t>
      </w:r>
      <w:r w:rsidRPr="005D12C6">
        <w:rPr>
          <w:rFonts w:eastAsia="Times New Roman" w:cs="Times New Roman"/>
          <w:bCs/>
          <w:color w:val="000000"/>
          <w:sz w:val="22"/>
          <w:szCs w:val="22"/>
          <w:lang w:eastAsia="es-MX"/>
        </w:rPr>
        <w:t>los Estados Financieros que las Entidades Paraestatales presentan a esta Secretaría de Finanzas y está actualizado de conformidad con la oportunidad en que estas los presentan.</w:t>
      </w:r>
    </w:p>
    <w:p w14:paraId="2F202F86" w14:textId="780ECD15" w:rsidR="00207781" w:rsidRPr="005D12C6" w:rsidRDefault="00207781" w:rsidP="00387CC6">
      <w:pPr>
        <w:spacing w:before="0" w:after="0"/>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Las aportaciones en las entidades paraestatales se integran como sigue:</w:t>
      </w:r>
    </w:p>
    <w:p w14:paraId="23D92F0D" w14:textId="0F817922" w:rsidR="007E1CED" w:rsidRPr="005D12C6" w:rsidRDefault="000B3CE1" w:rsidP="00387CC6">
      <w:pPr>
        <w:spacing w:before="0" w:after="0"/>
        <w:rPr>
          <w:rFonts w:eastAsia="Times New Roman" w:cs="Times New Roman"/>
          <w:bCs/>
          <w:color w:val="000000"/>
          <w:sz w:val="22"/>
          <w:szCs w:val="22"/>
          <w:lang w:eastAsia="es-MX"/>
        </w:rPr>
      </w:pPr>
      <w:r w:rsidRPr="005D12C6">
        <w:rPr>
          <w:noProof/>
          <w:lang w:val="es-MX" w:eastAsia="es-MX"/>
        </w:rPr>
        <w:lastRenderedPageBreak/>
        <w:drawing>
          <wp:inline distT="0" distB="0" distL="0" distR="0" wp14:anchorId="4A9F0589" wp14:editId="78E93CF9">
            <wp:extent cx="6351270" cy="6279400"/>
            <wp:effectExtent l="0" t="0" r="0" b="7620"/>
            <wp:docPr id="1981202176" name="Imagen 19812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6279400"/>
                    </a:xfrm>
                    <a:prstGeom prst="rect">
                      <a:avLst/>
                    </a:prstGeom>
                    <a:noFill/>
                    <a:ln>
                      <a:noFill/>
                    </a:ln>
                  </pic:spPr>
                </pic:pic>
              </a:graphicData>
            </a:graphic>
          </wp:inline>
        </w:drawing>
      </w:r>
    </w:p>
    <w:p w14:paraId="5B64D25C" w14:textId="0F31B2BF" w:rsidR="004725E4" w:rsidRPr="005D12C6" w:rsidRDefault="004725E4" w:rsidP="00387CC6">
      <w:pPr>
        <w:spacing w:before="0" w:after="0"/>
        <w:rPr>
          <w:rFonts w:eastAsia="Calibri" w:cs="Times New Roman"/>
          <w:bCs/>
          <w:sz w:val="22"/>
          <w:szCs w:val="22"/>
        </w:rPr>
      </w:pPr>
    </w:p>
    <w:p w14:paraId="68BDAC13" w14:textId="77777777" w:rsidR="00E51721" w:rsidRPr="005D12C6" w:rsidRDefault="00E51721" w:rsidP="00B82D70">
      <w:pPr>
        <w:spacing w:before="0" w:after="0"/>
        <w:rPr>
          <w:rFonts w:eastAsia="Calibri" w:cs="Times New Roman"/>
          <w:b/>
          <w:sz w:val="22"/>
          <w:szCs w:val="22"/>
        </w:rPr>
      </w:pPr>
    </w:p>
    <w:p w14:paraId="5F4F4BD9" w14:textId="1EE7871E" w:rsidR="0029041D" w:rsidRPr="005D12C6" w:rsidRDefault="0029041D" w:rsidP="00B82D70">
      <w:pPr>
        <w:spacing w:before="0" w:after="0"/>
        <w:rPr>
          <w:rFonts w:eastAsia="Calibri" w:cs="Times New Roman"/>
          <w:b/>
          <w:sz w:val="22"/>
          <w:szCs w:val="22"/>
        </w:rPr>
      </w:pPr>
      <w:r w:rsidRPr="005D12C6">
        <w:rPr>
          <w:rFonts w:eastAsia="Calibri" w:cs="Times New Roman"/>
          <w:b/>
          <w:sz w:val="22"/>
          <w:szCs w:val="22"/>
        </w:rPr>
        <w:t>BIENES MUEBLES, INMUEBLES E INTA</w:t>
      </w:r>
      <w:r w:rsidR="006E7D4A" w:rsidRPr="005D12C6">
        <w:rPr>
          <w:rFonts w:eastAsia="Calibri" w:cs="Times New Roman"/>
          <w:b/>
          <w:sz w:val="22"/>
          <w:szCs w:val="22"/>
        </w:rPr>
        <w:t>N</w:t>
      </w:r>
      <w:r w:rsidRPr="005D12C6">
        <w:rPr>
          <w:rFonts w:eastAsia="Calibri" w:cs="Times New Roman"/>
          <w:b/>
          <w:sz w:val="22"/>
          <w:szCs w:val="22"/>
        </w:rPr>
        <w:t>GIBLES</w:t>
      </w:r>
      <w:r w:rsidR="006E7D4A" w:rsidRPr="005D12C6">
        <w:rPr>
          <w:rFonts w:eastAsia="Calibri" w:cs="Times New Roman"/>
          <w:b/>
          <w:sz w:val="22"/>
          <w:szCs w:val="22"/>
        </w:rPr>
        <w:t>.</w:t>
      </w:r>
    </w:p>
    <w:p w14:paraId="56AC8ADD" w14:textId="33373AE7" w:rsidR="00B82D70" w:rsidRPr="005D12C6" w:rsidRDefault="0029041D" w:rsidP="00B82D70">
      <w:pPr>
        <w:spacing w:before="0" w:after="0"/>
        <w:rPr>
          <w:rFonts w:ascii="Arial" w:eastAsia="Times New Roman" w:hAnsi="Arial" w:cs="Arial"/>
          <w:b/>
          <w:bCs/>
          <w:color w:val="000000"/>
          <w:sz w:val="22"/>
          <w:szCs w:val="22"/>
          <w:lang w:eastAsia="es-MX"/>
        </w:rPr>
      </w:pPr>
      <w:r w:rsidRPr="005D12C6">
        <w:rPr>
          <w:rFonts w:eastAsia="Calibri" w:cs="Times New Roman"/>
          <w:b/>
          <w:sz w:val="22"/>
          <w:szCs w:val="22"/>
        </w:rPr>
        <w:t xml:space="preserve">8.- </w:t>
      </w:r>
      <w:r w:rsidR="00E525B0" w:rsidRPr="005D12C6">
        <w:rPr>
          <w:rFonts w:eastAsia="Calibri" w:cs="Times New Roman"/>
          <w:b/>
          <w:sz w:val="22"/>
          <w:szCs w:val="22"/>
        </w:rPr>
        <w:t>BIENES MUEBLES E INMUEBLES</w:t>
      </w:r>
      <w:r w:rsidR="006E7D4A" w:rsidRPr="005D12C6">
        <w:rPr>
          <w:rFonts w:eastAsia="Calibri" w:cs="Times New Roman"/>
          <w:b/>
          <w:sz w:val="22"/>
          <w:szCs w:val="22"/>
        </w:rPr>
        <w:t>.</w:t>
      </w:r>
      <w:r w:rsidR="00E525B0" w:rsidRPr="005D12C6">
        <w:rPr>
          <w:rFonts w:ascii="Arial" w:hAnsi="Arial" w:cs="Arial"/>
          <w:b/>
          <w:color w:val="000000"/>
          <w:sz w:val="22"/>
          <w:szCs w:val="22"/>
        </w:rPr>
        <w:t xml:space="preserve"> </w:t>
      </w:r>
      <w:r w:rsidR="00E525B0" w:rsidRPr="005D12C6">
        <w:rPr>
          <w:rFonts w:ascii="Arial" w:eastAsia="Times New Roman" w:hAnsi="Arial" w:cs="Arial"/>
          <w:b/>
          <w:bCs/>
          <w:color w:val="000000"/>
          <w:sz w:val="22"/>
          <w:szCs w:val="22"/>
          <w:lang w:eastAsia="es-MX"/>
        </w:rPr>
        <w:t xml:space="preserve">  </w:t>
      </w:r>
    </w:p>
    <w:p w14:paraId="32931370" w14:textId="35E89774" w:rsidR="00B82D70" w:rsidRPr="005D12C6" w:rsidRDefault="00B82D70" w:rsidP="00B82D70">
      <w:pPr>
        <w:spacing w:before="0" w:after="0"/>
        <w:rPr>
          <w:rFonts w:eastAsia="Calibri" w:cs="Times New Roman"/>
          <w:sz w:val="22"/>
          <w:szCs w:val="22"/>
        </w:rPr>
      </w:pPr>
      <w:r w:rsidRPr="005D12C6">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08 de agosto de 2013 y los “Lineamientos dirigidos a asegurar que el Sistema de Contabilidad Gubernamental facilite </w:t>
      </w:r>
      <w:r w:rsidRPr="005D12C6">
        <w:rPr>
          <w:rFonts w:eastAsia="Calibri" w:cs="Times New Roman"/>
          <w:sz w:val="22"/>
          <w:szCs w:val="22"/>
        </w:rPr>
        <w:lastRenderedPageBreak/>
        <w:t xml:space="preserve">el Registro y Control de los Inventarios de Bienes Muebles e Inmuebles de los Entes Públicos” publicado en el Diario Oficial de la Federación del 13 de diciembre de 2011, las cifras que se presentan y que ascienden a un importe de </w:t>
      </w:r>
      <w:r w:rsidR="000B3CE1" w:rsidRPr="005D12C6">
        <w:rPr>
          <w:rFonts w:eastAsia="Calibri" w:cs="Times New Roman"/>
          <w:sz w:val="22"/>
          <w:szCs w:val="22"/>
        </w:rPr>
        <w:t>40</w:t>
      </w:r>
      <w:r w:rsidRPr="005D12C6">
        <w:rPr>
          <w:rFonts w:eastAsia="Calibri" w:cs="Times New Roman"/>
          <w:sz w:val="22"/>
          <w:szCs w:val="22"/>
        </w:rPr>
        <w:t xml:space="preserve"> mil </w:t>
      </w:r>
      <w:r w:rsidR="000B3CE1" w:rsidRPr="005D12C6">
        <w:rPr>
          <w:rFonts w:eastAsia="Calibri" w:cs="Times New Roman"/>
          <w:sz w:val="22"/>
          <w:szCs w:val="22"/>
        </w:rPr>
        <w:t>265</w:t>
      </w:r>
      <w:r w:rsidR="00892E6E" w:rsidRPr="005D12C6">
        <w:rPr>
          <w:rFonts w:eastAsia="Calibri" w:cs="Times New Roman"/>
          <w:sz w:val="22"/>
          <w:szCs w:val="22"/>
        </w:rPr>
        <w:t xml:space="preserve"> </w:t>
      </w:r>
      <w:r w:rsidRPr="005D12C6">
        <w:rPr>
          <w:rFonts w:eastAsia="Calibri" w:cs="Times New Roman"/>
          <w:sz w:val="22"/>
          <w:szCs w:val="22"/>
        </w:rPr>
        <w:t xml:space="preserve">millones </w:t>
      </w:r>
      <w:r w:rsidR="000B3CE1" w:rsidRPr="005D12C6">
        <w:rPr>
          <w:rFonts w:eastAsia="Calibri" w:cs="Times New Roman"/>
          <w:sz w:val="22"/>
          <w:szCs w:val="22"/>
        </w:rPr>
        <w:t>144</w:t>
      </w:r>
      <w:r w:rsidRPr="005D12C6">
        <w:rPr>
          <w:rFonts w:eastAsia="Calibri" w:cs="Times New Roman"/>
          <w:sz w:val="22"/>
          <w:szCs w:val="22"/>
        </w:rPr>
        <w:t xml:space="preserve"> mil </w:t>
      </w:r>
      <w:r w:rsidR="000B3CE1" w:rsidRPr="005D12C6">
        <w:rPr>
          <w:rFonts w:eastAsia="Calibri" w:cs="Times New Roman"/>
          <w:sz w:val="22"/>
          <w:szCs w:val="22"/>
        </w:rPr>
        <w:t>553</w:t>
      </w:r>
      <w:r w:rsidRPr="005D12C6">
        <w:rPr>
          <w:rFonts w:eastAsia="Calibri" w:cs="Times New Roman"/>
          <w:sz w:val="22"/>
          <w:szCs w:val="22"/>
        </w:rPr>
        <w:t xml:space="preserve"> pesos</w:t>
      </w:r>
      <w:r w:rsidR="000B3CE1" w:rsidRPr="005D12C6">
        <w:rPr>
          <w:rFonts w:eastAsia="Calibri" w:cs="Times New Roman"/>
          <w:sz w:val="22"/>
          <w:szCs w:val="22"/>
        </w:rPr>
        <w:t xml:space="preserve"> 39 centavos</w:t>
      </w:r>
      <w:r w:rsidRPr="005D12C6">
        <w:rPr>
          <w:rFonts w:eastAsia="Calibri" w:cs="Times New Roman"/>
          <w:sz w:val="22"/>
          <w:szCs w:val="22"/>
        </w:rPr>
        <w:t xml:space="preserve">. </w:t>
      </w:r>
    </w:p>
    <w:p w14:paraId="63A85CA1" w14:textId="77777777" w:rsidR="00834CA0" w:rsidRPr="005D12C6" w:rsidRDefault="00834CA0" w:rsidP="00B82D70">
      <w:pPr>
        <w:spacing w:before="0" w:after="0"/>
        <w:rPr>
          <w:rFonts w:eastAsia="Calibri" w:cs="Times New Roman"/>
          <w:sz w:val="22"/>
          <w:szCs w:val="22"/>
        </w:rPr>
      </w:pPr>
    </w:p>
    <w:p w14:paraId="62DEFCFE" w14:textId="053BD6B4" w:rsidR="004725E4" w:rsidRPr="005D12C6" w:rsidRDefault="00834CA0" w:rsidP="00B82D70">
      <w:pPr>
        <w:spacing w:before="0" w:after="0"/>
        <w:rPr>
          <w:rFonts w:eastAsia="Calibri" w:cs="Times New Roman"/>
          <w:b/>
          <w:sz w:val="22"/>
          <w:szCs w:val="22"/>
        </w:rPr>
      </w:pPr>
      <w:r w:rsidRPr="005D12C6">
        <w:rPr>
          <w:rFonts w:eastAsia="Calibri" w:cs="Times New Roman"/>
          <w:b/>
          <w:sz w:val="22"/>
          <w:szCs w:val="22"/>
        </w:rPr>
        <w:t>BIENES INMUEBLES</w:t>
      </w:r>
    </w:p>
    <w:p w14:paraId="04F01CA3" w14:textId="28E3F8DA" w:rsidR="001205F4" w:rsidRPr="005D12C6" w:rsidRDefault="001205F4" w:rsidP="00152561">
      <w:pPr>
        <w:spacing w:before="0" w:after="0"/>
        <w:rPr>
          <w:rFonts w:eastAsia="Calibri" w:cs="Times New Roman"/>
          <w:sz w:val="22"/>
          <w:szCs w:val="22"/>
        </w:rPr>
      </w:pPr>
      <w:r w:rsidRPr="005D12C6">
        <w:rPr>
          <w:rFonts w:eastAsia="Calibri" w:cs="Times New Roman"/>
          <w:sz w:val="22"/>
          <w:szCs w:val="22"/>
        </w:rPr>
        <w:t>El saldo de los bienes inmuebles se muestra como sigue:</w:t>
      </w:r>
    </w:p>
    <w:p w14:paraId="61FC005C" w14:textId="03D2013A" w:rsidR="001205F4" w:rsidRPr="005D12C6" w:rsidRDefault="000B3CE1" w:rsidP="00080263">
      <w:pPr>
        <w:spacing w:before="120" w:after="120"/>
        <w:jc w:val="left"/>
        <w:rPr>
          <w:rFonts w:eastAsia="Calibri" w:cs="Times New Roman"/>
          <w:b/>
          <w:color w:val="000000"/>
          <w:sz w:val="22"/>
          <w:szCs w:val="22"/>
        </w:rPr>
      </w:pPr>
      <w:r w:rsidRPr="005D12C6">
        <w:rPr>
          <w:noProof/>
          <w:lang w:val="es-MX" w:eastAsia="es-MX"/>
        </w:rPr>
        <w:drawing>
          <wp:inline distT="0" distB="0" distL="0" distR="0" wp14:anchorId="3C5481DD" wp14:editId="196FD8D0">
            <wp:extent cx="6351270" cy="1013931"/>
            <wp:effectExtent l="0" t="0" r="0" b="0"/>
            <wp:docPr id="1981202177" name="Imagen 198120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1270" cy="1013931"/>
                    </a:xfrm>
                    <a:prstGeom prst="rect">
                      <a:avLst/>
                    </a:prstGeom>
                    <a:noFill/>
                    <a:ln>
                      <a:noFill/>
                    </a:ln>
                  </pic:spPr>
                </pic:pic>
              </a:graphicData>
            </a:graphic>
          </wp:inline>
        </w:drawing>
      </w:r>
    </w:p>
    <w:p w14:paraId="32F8651F" w14:textId="77777777" w:rsidR="001511BF" w:rsidRPr="005D12C6" w:rsidRDefault="001511BF" w:rsidP="00B82D70">
      <w:pPr>
        <w:spacing w:before="0" w:after="0"/>
        <w:rPr>
          <w:rFonts w:eastAsia="Calibri" w:cs="Times New Roman"/>
          <w:b/>
          <w:color w:val="000000"/>
          <w:sz w:val="22"/>
          <w:szCs w:val="22"/>
        </w:rPr>
      </w:pPr>
    </w:p>
    <w:p w14:paraId="21340350" w14:textId="6300DBAD" w:rsidR="00B82D70" w:rsidRPr="005D12C6" w:rsidRDefault="00B82D70" w:rsidP="00AE0063">
      <w:pPr>
        <w:spacing w:before="0" w:after="0"/>
        <w:rPr>
          <w:rFonts w:eastAsia="Calibri" w:cs="Times New Roman"/>
          <w:b/>
          <w:color w:val="000000"/>
          <w:sz w:val="22"/>
          <w:szCs w:val="22"/>
        </w:rPr>
      </w:pPr>
      <w:r w:rsidRPr="005D12C6">
        <w:rPr>
          <w:rFonts w:eastAsia="Calibri" w:cs="Times New Roman"/>
          <w:b/>
          <w:color w:val="000000"/>
          <w:sz w:val="22"/>
          <w:szCs w:val="22"/>
        </w:rPr>
        <w:t>BIENES MUEBLES</w:t>
      </w:r>
    </w:p>
    <w:p w14:paraId="5385DC73" w14:textId="77777777" w:rsidR="00B82D70" w:rsidRPr="005D12C6" w:rsidRDefault="00B82D70" w:rsidP="00AE0063">
      <w:pPr>
        <w:spacing w:before="0" w:after="0"/>
        <w:rPr>
          <w:rFonts w:eastAsia="Calibri" w:cs="Times New Roman"/>
          <w:color w:val="000000"/>
          <w:sz w:val="22"/>
          <w:szCs w:val="22"/>
        </w:rPr>
      </w:pPr>
      <w:r w:rsidRPr="005D12C6">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1670417" w14:textId="77777777" w:rsidR="00B82D70" w:rsidRPr="005D12C6" w:rsidRDefault="00B82D70" w:rsidP="00AE0063">
      <w:pPr>
        <w:spacing w:before="0" w:after="0"/>
        <w:rPr>
          <w:rFonts w:eastAsia="Calibri" w:cs="Times New Roman"/>
          <w:color w:val="000000"/>
          <w:sz w:val="22"/>
          <w:szCs w:val="22"/>
        </w:rPr>
      </w:pPr>
    </w:p>
    <w:p w14:paraId="7814B7CD" w14:textId="77777777" w:rsidR="00B82D70" w:rsidRPr="005D12C6" w:rsidRDefault="00B82D70" w:rsidP="00AE0063">
      <w:pPr>
        <w:spacing w:before="0" w:after="0"/>
        <w:rPr>
          <w:rFonts w:eastAsia="Calibri" w:cs="Times New Roman"/>
          <w:color w:val="000000"/>
          <w:sz w:val="22"/>
          <w:szCs w:val="22"/>
        </w:rPr>
      </w:pPr>
      <w:r w:rsidRPr="005D12C6">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27DBB2B" w14:textId="77777777" w:rsidR="002552AE" w:rsidRPr="005D12C6" w:rsidRDefault="002552AE" w:rsidP="00AE0063">
      <w:pPr>
        <w:spacing w:before="0" w:after="0"/>
        <w:rPr>
          <w:rFonts w:eastAsia="Calibri" w:cs="Times New Roman"/>
          <w:color w:val="000000"/>
          <w:sz w:val="22"/>
          <w:szCs w:val="22"/>
        </w:rPr>
      </w:pPr>
    </w:p>
    <w:p w14:paraId="3494B59C" w14:textId="72D5B09B" w:rsidR="00BA5F0B" w:rsidRPr="005D12C6" w:rsidRDefault="00B82D70" w:rsidP="00AE0063">
      <w:pPr>
        <w:spacing w:before="0" w:after="0"/>
        <w:rPr>
          <w:rFonts w:eastAsia="Calibri" w:cs="Times New Roman"/>
          <w:color w:val="000000"/>
          <w:sz w:val="22"/>
          <w:szCs w:val="22"/>
        </w:rPr>
      </w:pPr>
      <w:r w:rsidRPr="005D12C6">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3C84D8E3" w14:textId="77777777" w:rsidR="001205F4" w:rsidRPr="005D12C6" w:rsidRDefault="001205F4" w:rsidP="00AE0063">
      <w:pPr>
        <w:spacing w:before="0" w:after="0"/>
        <w:rPr>
          <w:rFonts w:eastAsia="Calibri" w:cs="Times New Roman"/>
          <w:color w:val="000000"/>
          <w:sz w:val="22"/>
          <w:szCs w:val="22"/>
        </w:rPr>
      </w:pPr>
    </w:p>
    <w:p w14:paraId="4807EFF9" w14:textId="77777777" w:rsidR="00B82D70" w:rsidRPr="005D12C6" w:rsidRDefault="00B82D70" w:rsidP="00AE0063">
      <w:pPr>
        <w:spacing w:before="0" w:after="0"/>
        <w:ind w:firstLine="284"/>
        <w:rPr>
          <w:rFonts w:eastAsia="Calibri" w:cs="Times New Roman"/>
          <w:color w:val="000000"/>
          <w:sz w:val="22"/>
          <w:szCs w:val="22"/>
        </w:rPr>
      </w:pPr>
      <w:r w:rsidRPr="005D12C6">
        <w:rPr>
          <w:rFonts w:eastAsia="Calibri" w:cs="Times New Roman"/>
          <w:color w:val="000000"/>
          <w:sz w:val="22"/>
          <w:szCs w:val="22"/>
        </w:rPr>
        <w:t>A continuación, se detalla la integración de este rubro:</w:t>
      </w:r>
    </w:p>
    <w:p w14:paraId="473E2103" w14:textId="339590CC" w:rsidR="0055109B" w:rsidRPr="005D12C6" w:rsidRDefault="000B3CE1" w:rsidP="00BF7549">
      <w:pPr>
        <w:spacing w:before="0" w:after="0"/>
        <w:jc w:val="left"/>
        <w:rPr>
          <w:rFonts w:eastAsia="Calibri" w:cs="Times New Roman"/>
          <w:color w:val="000000"/>
          <w:sz w:val="22"/>
          <w:szCs w:val="22"/>
        </w:rPr>
      </w:pPr>
      <w:r w:rsidRPr="005D12C6">
        <w:rPr>
          <w:noProof/>
          <w:lang w:val="es-MX" w:eastAsia="es-MX"/>
        </w:rPr>
        <w:lastRenderedPageBreak/>
        <w:drawing>
          <wp:inline distT="0" distB="0" distL="0" distR="0" wp14:anchorId="54C38345" wp14:editId="4A1BFCEA">
            <wp:extent cx="6351270" cy="1124964"/>
            <wp:effectExtent l="0" t="0" r="0" b="0"/>
            <wp:docPr id="1981202178" name="Imagen 19812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1124964"/>
                    </a:xfrm>
                    <a:prstGeom prst="rect">
                      <a:avLst/>
                    </a:prstGeom>
                    <a:noFill/>
                    <a:ln>
                      <a:noFill/>
                    </a:ln>
                  </pic:spPr>
                </pic:pic>
              </a:graphicData>
            </a:graphic>
          </wp:inline>
        </w:drawing>
      </w:r>
    </w:p>
    <w:p w14:paraId="738DF62D" w14:textId="2E1D2FE4" w:rsidR="00B82D70" w:rsidRPr="005D12C6" w:rsidRDefault="00B82D70" w:rsidP="00072C3D">
      <w:pPr>
        <w:spacing w:before="0" w:after="0"/>
        <w:rPr>
          <w:rFonts w:eastAsia="Calibri" w:cs="Times New Roman"/>
          <w:color w:val="632423"/>
          <w:sz w:val="22"/>
          <w:szCs w:val="22"/>
        </w:rPr>
      </w:pPr>
    </w:p>
    <w:p w14:paraId="3E26B855" w14:textId="6FCA94A8" w:rsidR="00B82D70" w:rsidRPr="005D12C6" w:rsidRDefault="00BA5F0B" w:rsidP="0055109B">
      <w:pPr>
        <w:widowControl w:val="0"/>
        <w:spacing w:before="0" w:after="0"/>
        <w:jc w:val="left"/>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9</w:t>
      </w:r>
      <w:r w:rsidR="00B82D70" w:rsidRPr="005D12C6">
        <w:rPr>
          <w:rFonts w:eastAsia="Times New Roman" w:cs="Times New Roman"/>
          <w:b/>
          <w:color w:val="000000"/>
          <w:sz w:val="22"/>
          <w:szCs w:val="22"/>
          <w:lang w:eastAsia="es-MX"/>
        </w:rPr>
        <w:t>.- ACTIVOS INTANGIBLES</w:t>
      </w:r>
    </w:p>
    <w:p w14:paraId="6C29C12A" w14:textId="6AD45526" w:rsidR="00B82D70" w:rsidRPr="005D12C6" w:rsidRDefault="00B82D70" w:rsidP="0055109B">
      <w:pPr>
        <w:spacing w:before="0" w:after="0"/>
        <w:rPr>
          <w:rFonts w:eastAsia="Calibri" w:cs="Times New Roman"/>
          <w:color w:val="000000"/>
          <w:sz w:val="22"/>
          <w:szCs w:val="22"/>
        </w:rPr>
      </w:pPr>
      <w:r w:rsidRPr="005D12C6">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3104501" w14:textId="1CA8FF2B" w:rsidR="001A5C9B" w:rsidRPr="005D12C6" w:rsidRDefault="00BF7549" w:rsidP="0055109B">
      <w:pPr>
        <w:spacing w:before="0" w:after="0"/>
        <w:rPr>
          <w:rFonts w:eastAsia="Calibri" w:cs="Times New Roman"/>
          <w:color w:val="000000"/>
          <w:sz w:val="22"/>
          <w:szCs w:val="22"/>
        </w:rPr>
      </w:pPr>
      <w:r w:rsidRPr="005D12C6">
        <w:rPr>
          <w:noProof/>
          <w:lang w:val="es-MX" w:eastAsia="es-MX"/>
        </w:rPr>
        <w:drawing>
          <wp:inline distT="0" distB="0" distL="0" distR="0" wp14:anchorId="0FA0AE0C" wp14:editId="233018A9">
            <wp:extent cx="6351270" cy="684274"/>
            <wp:effectExtent l="0" t="0" r="0" b="1905"/>
            <wp:docPr id="1981202180" name="Imagen 19812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1270" cy="684274"/>
                    </a:xfrm>
                    <a:prstGeom prst="rect">
                      <a:avLst/>
                    </a:prstGeom>
                    <a:noFill/>
                    <a:ln>
                      <a:noFill/>
                    </a:ln>
                  </pic:spPr>
                </pic:pic>
              </a:graphicData>
            </a:graphic>
          </wp:inline>
        </w:drawing>
      </w:r>
    </w:p>
    <w:p w14:paraId="072EE2FD" w14:textId="77777777" w:rsidR="00BF7549" w:rsidRPr="005D12C6" w:rsidRDefault="00BF7549" w:rsidP="0055109B">
      <w:pPr>
        <w:widowControl w:val="0"/>
        <w:spacing w:before="0" w:after="0"/>
        <w:jc w:val="left"/>
        <w:rPr>
          <w:rFonts w:eastAsia="Times New Roman" w:cs="Times New Roman"/>
          <w:b/>
          <w:color w:val="000000"/>
          <w:sz w:val="22"/>
          <w:szCs w:val="22"/>
          <w:lang w:eastAsia="es-MX"/>
        </w:rPr>
      </w:pPr>
    </w:p>
    <w:p w14:paraId="778952E3" w14:textId="1397CFAD" w:rsidR="00B82D70" w:rsidRPr="005D12C6" w:rsidRDefault="00B82D70" w:rsidP="0055109B">
      <w:pPr>
        <w:widowControl w:val="0"/>
        <w:spacing w:before="0" w:after="0"/>
        <w:jc w:val="left"/>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ACTIVOS DIFERIDOS</w:t>
      </w:r>
    </w:p>
    <w:p w14:paraId="61C67580" w14:textId="17EF1533" w:rsidR="00B82D70" w:rsidRPr="005D12C6" w:rsidRDefault="00B82D70" w:rsidP="0055109B">
      <w:pPr>
        <w:spacing w:before="0" w:after="0"/>
        <w:rPr>
          <w:rFonts w:eastAsia="Calibri" w:cs="Times New Roman"/>
          <w:color w:val="000000"/>
          <w:sz w:val="22"/>
          <w:szCs w:val="22"/>
        </w:rPr>
      </w:pPr>
      <w:r w:rsidRPr="005D12C6">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Pr="005D12C6" w:rsidRDefault="00B82D70" w:rsidP="0055109B">
      <w:pPr>
        <w:spacing w:before="0" w:after="0"/>
        <w:rPr>
          <w:rFonts w:eastAsia="Calibri" w:cs="Times New Roman"/>
          <w:color w:val="000000"/>
          <w:sz w:val="22"/>
          <w:szCs w:val="22"/>
        </w:rPr>
      </w:pPr>
      <w:r w:rsidRPr="005D12C6">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2233E812" w14:textId="7659CB6E" w:rsidR="001A5C9B" w:rsidRPr="005D12C6" w:rsidRDefault="00BF7549" w:rsidP="0055109B">
      <w:pPr>
        <w:spacing w:before="0" w:after="0"/>
        <w:rPr>
          <w:rFonts w:eastAsia="Calibri" w:cs="Times New Roman"/>
          <w:color w:val="000000"/>
          <w:sz w:val="22"/>
          <w:szCs w:val="22"/>
        </w:rPr>
      </w:pPr>
      <w:r w:rsidRPr="005D12C6">
        <w:rPr>
          <w:noProof/>
          <w:lang w:val="es-MX" w:eastAsia="es-MX"/>
        </w:rPr>
        <w:drawing>
          <wp:inline distT="0" distB="0" distL="0" distR="0" wp14:anchorId="35D156DD" wp14:editId="0EDB0F39">
            <wp:extent cx="6351270" cy="573241"/>
            <wp:effectExtent l="0" t="0" r="0" b="0"/>
            <wp:docPr id="1981202181" name="Imagen 198120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270" cy="573241"/>
                    </a:xfrm>
                    <a:prstGeom prst="rect">
                      <a:avLst/>
                    </a:prstGeom>
                    <a:noFill/>
                    <a:ln>
                      <a:noFill/>
                    </a:ln>
                  </pic:spPr>
                </pic:pic>
              </a:graphicData>
            </a:graphic>
          </wp:inline>
        </w:drawing>
      </w:r>
    </w:p>
    <w:p w14:paraId="2EEDD166" w14:textId="77777777" w:rsidR="00BA5F0B" w:rsidRPr="005D12C6" w:rsidRDefault="00BA5F0B" w:rsidP="0055109B">
      <w:pPr>
        <w:widowControl w:val="0"/>
        <w:kinsoku w:val="0"/>
        <w:spacing w:before="0" w:after="0"/>
        <w:contextualSpacing/>
        <w:jc w:val="left"/>
        <w:rPr>
          <w:rFonts w:eastAsia="Times New Roman" w:cs="Times New Roman"/>
          <w:b/>
          <w:color w:val="000000"/>
          <w:sz w:val="22"/>
          <w:szCs w:val="22"/>
          <w:lang w:eastAsia="es-MX"/>
        </w:rPr>
      </w:pPr>
    </w:p>
    <w:p w14:paraId="4DD5E3B0" w14:textId="5A9EC4C9" w:rsidR="00A40013" w:rsidRPr="005D12C6"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10. ESTIMACIONES Y DETERIOROS</w:t>
      </w:r>
      <w:r w:rsidR="0056443F" w:rsidRPr="005D12C6">
        <w:rPr>
          <w:rFonts w:eastAsia="Times New Roman" w:cs="Times New Roman"/>
          <w:b/>
          <w:color w:val="000000"/>
          <w:sz w:val="22"/>
          <w:szCs w:val="22"/>
          <w:lang w:eastAsia="es-MX"/>
        </w:rPr>
        <w:t>.</w:t>
      </w:r>
    </w:p>
    <w:p w14:paraId="47191C3A" w14:textId="7E659E16" w:rsidR="00C05208" w:rsidRPr="005D12C6" w:rsidRDefault="00C05208" w:rsidP="00072C3D">
      <w:pPr>
        <w:widowControl w:val="0"/>
        <w:kinsoku w:val="0"/>
        <w:spacing w:before="0" w:after="0"/>
        <w:contextualSpacing/>
        <w:rPr>
          <w:rFonts w:eastAsia="Times New Roman" w:cs="Times New Roman"/>
          <w:bCs/>
          <w:color w:val="000000"/>
          <w:sz w:val="22"/>
          <w:szCs w:val="22"/>
          <w:lang w:eastAsia="es-MX"/>
        </w:rPr>
      </w:pPr>
      <w:r w:rsidRPr="005D12C6">
        <w:rPr>
          <w:rFonts w:eastAsia="Calibri" w:cs="Times New Roman"/>
          <w:bCs/>
          <w:sz w:val="22"/>
          <w:szCs w:val="22"/>
        </w:rPr>
        <w:t>Para el periodo que se reporta, no existe información referente a estimaciones y deterioros que presentar.</w:t>
      </w:r>
    </w:p>
    <w:p w14:paraId="295CBC75" w14:textId="77777777" w:rsidR="00C05208" w:rsidRPr="005D12C6" w:rsidRDefault="00C05208" w:rsidP="00072C3D">
      <w:pPr>
        <w:widowControl w:val="0"/>
        <w:kinsoku w:val="0"/>
        <w:spacing w:before="0" w:after="0"/>
        <w:contextualSpacing/>
        <w:rPr>
          <w:rFonts w:eastAsia="Times New Roman" w:cs="Times New Roman"/>
          <w:bCs/>
          <w:color w:val="000000"/>
          <w:sz w:val="22"/>
          <w:szCs w:val="22"/>
          <w:lang w:eastAsia="es-MX"/>
        </w:rPr>
      </w:pPr>
    </w:p>
    <w:p w14:paraId="7AF87B30" w14:textId="1D0D96D6" w:rsidR="00A40013" w:rsidRPr="005D12C6"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11.- OTROS ACTIVOS</w:t>
      </w:r>
    </w:p>
    <w:p w14:paraId="35528935" w14:textId="3BDFB8FE" w:rsidR="00A40013" w:rsidRPr="005D12C6" w:rsidRDefault="00A40013" w:rsidP="00072C3D">
      <w:pPr>
        <w:widowControl w:val="0"/>
        <w:kinsoku w:val="0"/>
        <w:spacing w:before="0" w:after="0"/>
        <w:contextualSpacing/>
        <w:jc w:val="left"/>
        <w:rPr>
          <w:rFonts w:eastAsia="Times New Roman" w:cs="Times New Roman"/>
          <w:bCs/>
          <w:color w:val="000000"/>
          <w:sz w:val="22"/>
          <w:szCs w:val="22"/>
          <w:lang w:eastAsia="es-MX"/>
        </w:rPr>
      </w:pPr>
      <w:r w:rsidRPr="005D12C6">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Pr="005D12C6" w:rsidRDefault="00A40013" w:rsidP="00072C3D">
      <w:pPr>
        <w:widowControl w:val="0"/>
        <w:kinsoku w:val="0"/>
        <w:spacing w:before="0" w:after="0"/>
        <w:contextualSpacing/>
        <w:jc w:val="left"/>
        <w:rPr>
          <w:rFonts w:eastAsia="Times New Roman" w:cs="Times New Roman"/>
          <w:b/>
          <w:color w:val="000000"/>
          <w:sz w:val="22"/>
          <w:szCs w:val="22"/>
          <w:lang w:eastAsia="es-MX"/>
        </w:rPr>
      </w:pPr>
    </w:p>
    <w:p w14:paraId="25667B1D" w14:textId="77777777" w:rsidR="00936BEF" w:rsidRDefault="00936BEF" w:rsidP="00072C3D">
      <w:pPr>
        <w:widowControl w:val="0"/>
        <w:kinsoku w:val="0"/>
        <w:spacing w:before="0" w:after="0"/>
        <w:contextualSpacing/>
        <w:jc w:val="left"/>
        <w:rPr>
          <w:rFonts w:eastAsia="Times New Roman" w:cs="Times New Roman"/>
          <w:b/>
          <w:color w:val="000000"/>
          <w:sz w:val="22"/>
          <w:szCs w:val="22"/>
          <w:lang w:eastAsia="es-MX"/>
        </w:rPr>
      </w:pPr>
    </w:p>
    <w:p w14:paraId="678DCEA4" w14:textId="77777777" w:rsidR="00936BEF" w:rsidRDefault="00936BEF" w:rsidP="00072C3D">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5D12C6" w:rsidRDefault="00B82D70" w:rsidP="00072C3D">
      <w:pPr>
        <w:widowControl w:val="0"/>
        <w:kinsoku w:val="0"/>
        <w:spacing w:before="0" w:after="0"/>
        <w:contextualSpacing/>
        <w:jc w:val="left"/>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lastRenderedPageBreak/>
        <w:t>PASIVO</w:t>
      </w:r>
    </w:p>
    <w:p w14:paraId="31E5F76D" w14:textId="1F34CEA8" w:rsidR="00B82D70" w:rsidRPr="005D12C6" w:rsidRDefault="00B82D70"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Pr="005D12C6" w:rsidRDefault="00450813" w:rsidP="00072C3D">
      <w:pPr>
        <w:widowControl w:val="0"/>
        <w:kinsoku w:val="0"/>
        <w:spacing w:before="0" w:after="0"/>
        <w:contextualSpacing/>
        <w:rPr>
          <w:rFonts w:eastAsia="Times New Roman" w:cs="Times New Roman"/>
          <w:color w:val="000000"/>
          <w:sz w:val="22"/>
          <w:szCs w:val="22"/>
          <w:lang w:eastAsia="es-MX"/>
        </w:rPr>
      </w:pPr>
    </w:p>
    <w:p w14:paraId="04686139" w14:textId="5C3E117C" w:rsidR="00C0303A" w:rsidRPr="005D12C6" w:rsidRDefault="00B82D70"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Este apartado se compone de dos grupos, como se observa en el cuadro que a continuación se presenta, en los que inciden pasivos derivados de operaciones por servicios personales, cuentas por pagar por operaciones presupuestarias devengadas y contabilizadas al </w:t>
      </w:r>
      <w:r w:rsidR="00053575" w:rsidRPr="005D12C6">
        <w:rPr>
          <w:rFonts w:eastAsia="Times New Roman" w:cs="Times New Roman"/>
          <w:color w:val="000000"/>
          <w:sz w:val="22"/>
          <w:szCs w:val="22"/>
          <w:lang w:eastAsia="es-MX"/>
        </w:rPr>
        <w:t>3</w:t>
      </w:r>
      <w:r w:rsidR="004E43B8" w:rsidRPr="005D12C6">
        <w:rPr>
          <w:rFonts w:eastAsia="Times New Roman" w:cs="Times New Roman"/>
          <w:color w:val="000000"/>
          <w:sz w:val="22"/>
          <w:szCs w:val="22"/>
          <w:lang w:eastAsia="es-MX"/>
        </w:rPr>
        <w:t>0</w:t>
      </w:r>
      <w:r w:rsidR="00053575" w:rsidRPr="005D12C6">
        <w:rPr>
          <w:rFonts w:eastAsia="Times New Roman" w:cs="Times New Roman"/>
          <w:color w:val="000000"/>
          <w:sz w:val="22"/>
          <w:szCs w:val="22"/>
          <w:lang w:eastAsia="es-MX"/>
        </w:rPr>
        <w:t xml:space="preserve"> de </w:t>
      </w:r>
      <w:r w:rsidR="009B6FBE" w:rsidRPr="005D12C6">
        <w:rPr>
          <w:rFonts w:eastAsia="Calibri" w:cs="Times New Roman"/>
          <w:sz w:val="22"/>
          <w:szCs w:val="22"/>
        </w:rPr>
        <w:t>junio</w:t>
      </w:r>
      <w:r w:rsidRPr="005D12C6">
        <w:rPr>
          <w:rFonts w:eastAsia="Times New Roman" w:cs="Times New Roman"/>
          <w:color w:val="000000"/>
          <w:sz w:val="22"/>
          <w:szCs w:val="22"/>
          <w:lang w:eastAsia="es-MX"/>
        </w:rPr>
        <w:t xml:space="preserve"> de 202</w:t>
      </w:r>
      <w:r w:rsidR="00FE2392" w:rsidRPr="005D12C6">
        <w:rPr>
          <w:rFonts w:eastAsia="Times New Roman" w:cs="Times New Roman"/>
          <w:color w:val="000000"/>
          <w:sz w:val="22"/>
          <w:szCs w:val="22"/>
          <w:lang w:eastAsia="es-MX"/>
        </w:rPr>
        <w:t>4</w:t>
      </w:r>
      <w:r w:rsidRPr="005D12C6">
        <w:rPr>
          <w:rFonts w:eastAsia="Times New Roman" w:cs="Times New Roman"/>
          <w:color w:val="000000"/>
          <w:sz w:val="22"/>
          <w:szCs w:val="22"/>
          <w:lang w:eastAsia="es-MX"/>
        </w:rPr>
        <w:t xml:space="preserve">, pasivos por </w:t>
      </w:r>
      <w:r w:rsidR="00FE2392" w:rsidRPr="005D12C6">
        <w:rPr>
          <w:rFonts w:eastAsia="Times New Roman" w:cs="Times New Roman"/>
          <w:color w:val="000000"/>
          <w:sz w:val="22"/>
          <w:szCs w:val="22"/>
          <w:lang w:eastAsia="es-MX"/>
        </w:rPr>
        <w:t>obligaciones</w:t>
      </w:r>
      <w:r w:rsidRPr="005D12C6">
        <w:rPr>
          <w:rFonts w:eastAsia="Times New Roman" w:cs="Times New Roman"/>
          <w:color w:val="000000"/>
          <w:sz w:val="22"/>
          <w:szCs w:val="22"/>
          <w:lang w:eastAsia="es-MX"/>
        </w:rPr>
        <w:t xml:space="preserve"> fiscales y laborales, acreedores diversos y pasivos por deudas contraídas a corto y largo plazo.</w:t>
      </w:r>
    </w:p>
    <w:p w14:paraId="1D0F263B" w14:textId="406A5157" w:rsidR="00744BAB" w:rsidRPr="005D12C6" w:rsidRDefault="00BF7549" w:rsidP="0055109B">
      <w:pPr>
        <w:tabs>
          <w:tab w:val="left" w:pos="480"/>
        </w:tabs>
        <w:spacing w:before="120" w:after="120"/>
        <w:jc w:val="center"/>
        <w:rPr>
          <w:rFonts w:eastAsia="Calibri" w:cs="Times New Roman"/>
          <w:b/>
          <w:color w:val="000000"/>
        </w:rPr>
      </w:pPr>
      <w:r w:rsidRPr="005D12C6">
        <w:rPr>
          <w:noProof/>
          <w:lang w:val="es-MX" w:eastAsia="es-MX"/>
        </w:rPr>
        <w:drawing>
          <wp:inline distT="0" distB="0" distL="0" distR="0" wp14:anchorId="2FBF63F3" wp14:editId="06EB18E9">
            <wp:extent cx="6351270" cy="465651"/>
            <wp:effectExtent l="0" t="0" r="0" b="0"/>
            <wp:docPr id="1981202184" name="Imagen 19812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1270" cy="465651"/>
                    </a:xfrm>
                    <a:prstGeom prst="rect">
                      <a:avLst/>
                    </a:prstGeom>
                    <a:noFill/>
                    <a:ln>
                      <a:noFill/>
                    </a:ln>
                  </pic:spPr>
                </pic:pic>
              </a:graphicData>
            </a:graphic>
          </wp:inline>
        </w:drawing>
      </w:r>
    </w:p>
    <w:p w14:paraId="06DE75A1" w14:textId="0BF38E3D" w:rsidR="00744BAB" w:rsidRPr="005D12C6" w:rsidRDefault="0070010C" w:rsidP="0055109B">
      <w:pPr>
        <w:widowControl w:val="0"/>
        <w:kinsoku w:val="0"/>
        <w:spacing w:before="0" w:after="0"/>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 xml:space="preserve">1. </w:t>
      </w:r>
      <w:r w:rsidR="00B82D70" w:rsidRPr="005D12C6">
        <w:rPr>
          <w:rFonts w:eastAsia="Times New Roman" w:cs="Times New Roman"/>
          <w:b/>
          <w:color w:val="000000"/>
          <w:sz w:val="22"/>
          <w:szCs w:val="22"/>
          <w:lang w:eastAsia="es-MX"/>
        </w:rPr>
        <w:t>PASIVO CIRCULANTE</w:t>
      </w:r>
      <w:r w:rsidRPr="005D12C6">
        <w:rPr>
          <w:rFonts w:eastAsia="Times New Roman" w:cs="Times New Roman"/>
          <w:b/>
          <w:color w:val="000000"/>
          <w:sz w:val="22"/>
          <w:szCs w:val="22"/>
          <w:lang w:eastAsia="es-MX"/>
        </w:rPr>
        <w:t xml:space="preserve"> (CUENTAS POR PAGAR A 30, 90, 180 Y MENOR O IGUAL A 365 DÍAS)</w:t>
      </w:r>
      <w:r w:rsidR="00B82D70" w:rsidRPr="005D12C6">
        <w:rPr>
          <w:rFonts w:eastAsia="Times New Roman" w:cs="Times New Roman"/>
          <w:b/>
          <w:color w:val="000000"/>
          <w:sz w:val="22"/>
          <w:szCs w:val="22"/>
          <w:lang w:eastAsia="es-MX"/>
        </w:rPr>
        <w:t xml:space="preserve"> </w:t>
      </w:r>
    </w:p>
    <w:p w14:paraId="521A494A" w14:textId="40B50DE5" w:rsidR="00B82D70" w:rsidRPr="005D12C6" w:rsidRDefault="00B82D70" w:rsidP="0055109B">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7CE2D6B1" w14:textId="4CD0D7D0" w:rsidR="00496BBA" w:rsidRPr="005D12C6" w:rsidRDefault="00BF7549" w:rsidP="0055109B">
      <w:pPr>
        <w:widowControl w:val="0"/>
        <w:kinsoku w:val="0"/>
        <w:spacing w:before="0" w:after="0"/>
        <w:contextualSpacing/>
        <w:rPr>
          <w:rFonts w:eastAsia="Times New Roman" w:cs="Times New Roman"/>
          <w:color w:val="000000"/>
          <w:sz w:val="22"/>
          <w:szCs w:val="22"/>
          <w:lang w:eastAsia="es-MX"/>
        </w:rPr>
      </w:pPr>
      <w:r w:rsidRPr="005D12C6">
        <w:rPr>
          <w:noProof/>
          <w:lang w:val="es-MX" w:eastAsia="es-MX"/>
        </w:rPr>
        <w:drawing>
          <wp:inline distT="0" distB="0" distL="0" distR="0" wp14:anchorId="43FF1D5C" wp14:editId="3EB29D47">
            <wp:extent cx="6351270" cy="795307"/>
            <wp:effectExtent l="0" t="0" r="0" b="5080"/>
            <wp:docPr id="1981202185" name="Imagen 198120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795307"/>
                    </a:xfrm>
                    <a:prstGeom prst="rect">
                      <a:avLst/>
                    </a:prstGeom>
                    <a:noFill/>
                    <a:ln>
                      <a:noFill/>
                    </a:ln>
                  </pic:spPr>
                </pic:pic>
              </a:graphicData>
            </a:graphic>
          </wp:inline>
        </w:drawing>
      </w:r>
    </w:p>
    <w:p w14:paraId="3E3D466E" w14:textId="77777777" w:rsidR="005A01C9" w:rsidRPr="005D12C6" w:rsidRDefault="005A01C9" w:rsidP="0055109B">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5D12C6" w:rsidRDefault="00B82D70" w:rsidP="0055109B">
      <w:pPr>
        <w:widowControl w:val="0"/>
        <w:kinsoku w:val="0"/>
        <w:spacing w:before="0" w:after="0"/>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CUENTAS POR PAGAR A CORTO PLAZO</w:t>
      </w:r>
      <w:r w:rsidRPr="005D12C6">
        <w:rPr>
          <w:rFonts w:eastAsia="Calibri" w:cs="Times New Roman"/>
          <w:sz w:val="22"/>
          <w:szCs w:val="22"/>
        </w:rPr>
        <w:t xml:space="preserve"> </w:t>
      </w:r>
    </w:p>
    <w:p w14:paraId="49F584AF" w14:textId="700826C7" w:rsidR="00C0303A" w:rsidRPr="005D12C6" w:rsidRDefault="00B82D70" w:rsidP="00B82D70">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En el renglón de Cuentas por Pagar Corto Plazo, se incluyeron, para su presentación, los siguientes conceptos:</w:t>
      </w:r>
    </w:p>
    <w:p w14:paraId="15565F50" w14:textId="23C4C41B" w:rsidR="00B82D70" w:rsidRPr="005D12C6" w:rsidRDefault="00BF7549" w:rsidP="00334784">
      <w:pPr>
        <w:widowControl w:val="0"/>
        <w:kinsoku w:val="0"/>
        <w:spacing w:before="0" w:after="0"/>
        <w:contextualSpacing/>
        <w:jc w:val="left"/>
        <w:rPr>
          <w:rFonts w:eastAsia="Times New Roman" w:cs="Times New Roman"/>
          <w:color w:val="833C0B"/>
          <w:lang w:eastAsia="es-MX"/>
        </w:rPr>
      </w:pPr>
      <w:r w:rsidRPr="005D12C6">
        <w:rPr>
          <w:noProof/>
          <w:lang w:val="es-MX" w:eastAsia="es-MX"/>
        </w:rPr>
        <w:drawing>
          <wp:inline distT="0" distB="0" distL="0" distR="0" wp14:anchorId="62F94286" wp14:editId="279C9ED9">
            <wp:extent cx="6351270" cy="1232124"/>
            <wp:effectExtent l="0" t="0" r="0" b="6350"/>
            <wp:docPr id="1981202186" name="Imagen 19812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1232124"/>
                    </a:xfrm>
                    <a:prstGeom prst="rect">
                      <a:avLst/>
                    </a:prstGeom>
                    <a:noFill/>
                    <a:ln>
                      <a:noFill/>
                    </a:ln>
                  </pic:spPr>
                </pic:pic>
              </a:graphicData>
            </a:graphic>
          </wp:inline>
        </w:drawing>
      </w:r>
    </w:p>
    <w:p w14:paraId="7E9B2E65" w14:textId="073F2524" w:rsidR="005270C7" w:rsidRPr="005D12C6" w:rsidRDefault="005270C7" w:rsidP="0070010C">
      <w:pPr>
        <w:spacing w:before="0" w:after="0"/>
        <w:rPr>
          <w:rFonts w:eastAsia="Calibri" w:cs="Times New Roman"/>
          <w:b/>
          <w:sz w:val="22"/>
          <w:szCs w:val="22"/>
        </w:rPr>
      </w:pPr>
    </w:p>
    <w:p w14:paraId="60E67A22" w14:textId="1DEF40F1" w:rsidR="0070010C" w:rsidRPr="005D12C6" w:rsidRDefault="0070010C" w:rsidP="0070010C">
      <w:pPr>
        <w:spacing w:before="0" w:after="0"/>
        <w:rPr>
          <w:rFonts w:eastAsia="Calibri" w:cs="Times New Roman"/>
          <w:b/>
          <w:sz w:val="22"/>
          <w:szCs w:val="22"/>
        </w:rPr>
      </w:pPr>
      <w:r w:rsidRPr="005D12C6">
        <w:rPr>
          <w:rFonts w:eastAsia="Calibri" w:cs="Times New Roman"/>
          <w:b/>
          <w:sz w:val="22"/>
          <w:szCs w:val="22"/>
        </w:rPr>
        <w:t>OTROS PASIVOS A CORTO PLAZO</w:t>
      </w:r>
    </w:p>
    <w:p w14:paraId="04E8508F" w14:textId="77777777" w:rsidR="0070010C" w:rsidRPr="005D12C6" w:rsidRDefault="0070010C" w:rsidP="0070010C">
      <w:pPr>
        <w:spacing w:before="0" w:after="0"/>
        <w:rPr>
          <w:rFonts w:eastAsia="Calibri" w:cs="Times New Roman"/>
          <w:sz w:val="22"/>
          <w:szCs w:val="22"/>
        </w:rPr>
      </w:pPr>
      <w:r w:rsidRPr="005D12C6">
        <w:rPr>
          <w:rFonts w:eastAsia="Calibri" w:cs="Times New Roman"/>
          <w:sz w:val="22"/>
          <w:szCs w:val="22"/>
        </w:rPr>
        <w:lastRenderedPageBreak/>
        <w:t>La cuenta de Otros Pasivos a Corto Plazo se integra por los siguientes conceptos:</w:t>
      </w:r>
    </w:p>
    <w:p w14:paraId="5F672822" w14:textId="3A111B5E" w:rsidR="0070010C" w:rsidRPr="005D12C6" w:rsidRDefault="00BF7549" w:rsidP="0070010C">
      <w:pPr>
        <w:spacing w:before="0" w:after="0"/>
        <w:rPr>
          <w:noProof/>
        </w:rPr>
      </w:pPr>
      <w:r w:rsidRPr="005D12C6">
        <w:rPr>
          <w:noProof/>
          <w:lang w:val="es-MX" w:eastAsia="es-MX"/>
        </w:rPr>
        <w:drawing>
          <wp:inline distT="0" distB="0" distL="0" distR="0" wp14:anchorId="77E2D231" wp14:editId="39404E57">
            <wp:extent cx="6351270" cy="573241"/>
            <wp:effectExtent l="0" t="0" r="0" b="0"/>
            <wp:docPr id="1981202187" name="Imagen 198120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1270" cy="573241"/>
                    </a:xfrm>
                    <a:prstGeom prst="rect">
                      <a:avLst/>
                    </a:prstGeom>
                    <a:noFill/>
                    <a:ln>
                      <a:noFill/>
                    </a:ln>
                  </pic:spPr>
                </pic:pic>
              </a:graphicData>
            </a:graphic>
          </wp:inline>
        </w:drawing>
      </w:r>
    </w:p>
    <w:p w14:paraId="7BD22BF0" w14:textId="77777777" w:rsidR="00722C65" w:rsidRPr="005D12C6" w:rsidRDefault="00722C65" w:rsidP="0070010C">
      <w:pPr>
        <w:spacing w:before="0" w:after="0"/>
        <w:rPr>
          <w:rFonts w:eastAsia="Calibri" w:cs="Times New Roman"/>
          <w:sz w:val="10"/>
          <w:szCs w:val="10"/>
        </w:rPr>
      </w:pPr>
    </w:p>
    <w:p w14:paraId="25D6EDCF" w14:textId="77777777" w:rsidR="00C24CC7" w:rsidRPr="005D12C6" w:rsidRDefault="0070010C" w:rsidP="0070010C">
      <w:pPr>
        <w:spacing w:before="0" w:after="0"/>
        <w:rPr>
          <w:rFonts w:eastAsia="Calibri" w:cs="Times New Roman"/>
          <w:sz w:val="22"/>
          <w:szCs w:val="22"/>
        </w:rPr>
      </w:pPr>
      <w:r w:rsidRPr="005D12C6">
        <w:rPr>
          <w:rFonts w:eastAsia="Calibri" w:cs="Times New Roman"/>
          <w:sz w:val="22"/>
          <w:szCs w:val="22"/>
        </w:rPr>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2E3F7DF1" w14:textId="77777777" w:rsidR="00C24CC7" w:rsidRPr="005D12C6" w:rsidRDefault="00C24CC7" w:rsidP="0070010C">
      <w:pPr>
        <w:spacing w:before="0" w:after="0"/>
        <w:rPr>
          <w:rFonts w:eastAsia="Calibri" w:cs="Times New Roman"/>
          <w:sz w:val="22"/>
          <w:szCs w:val="22"/>
        </w:rPr>
      </w:pPr>
    </w:p>
    <w:p w14:paraId="501A8B17" w14:textId="29083815" w:rsidR="0070010C" w:rsidRPr="005D12C6" w:rsidRDefault="00C24CC7" w:rsidP="0070010C">
      <w:pPr>
        <w:spacing w:before="0" w:after="0"/>
        <w:rPr>
          <w:rFonts w:eastAsia="Calibri" w:cs="Times New Roman"/>
          <w:b/>
          <w:sz w:val="22"/>
          <w:szCs w:val="22"/>
        </w:rPr>
      </w:pPr>
      <w:r w:rsidRPr="005D12C6">
        <w:rPr>
          <w:rFonts w:eastAsia="Calibri" w:cs="Times New Roman"/>
          <w:sz w:val="22"/>
          <w:szCs w:val="22"/>
        </w:rPr>
        <w:t>Se</w:t>
      </w:r>
      <w:r w:rsidR="0070010C" w:rsidRPr="005D12C6">
        <w:rPr>
          <w:rFonts w:eastAsia="Calibri" w:cs="Times New Roman"/>
          <w:sz w:val="22"/>
          <w:szCs w:val="22"/>
        </w:rPr>
        <w:t xml:space="preserve"> compensan estos saldos al mes siguiente tal como lo estipula la legislación mencionada. Al cierre del período no se han compensado con la federación</w:t>
      </w:r>
      <w:r w:rsidR="0029751E" w:rsidRPr="005D12C6">
        <w:rPr>
          <w:rFonts w:eastAsia="Calibri" w:cs="Times New Roman"/>
          <w:sz w:val="22"/>
          <w:szCs w:val="22"/>
        </w:rPr>
        <w:t xml:space="preserve"> y</w:t>
      </w:r>
      <w:r w:rsidR="0070010C" w:rsidRPr="005D12C6">
        <w:rPr>
          <w:rFonts w:eastAsia="Calibri" w:cs="Times New Roman"/>
          <w:sz w:val="22"/>
          <w:szCs w:val="22"/>
        </w:rPr>
        <w:t xml:space="preserve"> que representan el </w:t>
      </w:r>
      <w:r w:rsidR="006F2323" w:rsidRPr="005D12C6">
        <w:rPr>
          <w:rFonts w:eastAsia="Calibri" w:cs="Times New Roman"/>
          <w:sz w:val="22"/>
          <w:szCs w:val="22"/>
        </w:rPr>
        <w:t>23</w:t>
      </w:r>
      <w:r w:rsidR="0070010C" w:rsidRPr="005D12C6">
        <w:rPr>
          <w:rFonts w:eastAsia="Calibri" w:cs="Times New Roman"/>
          <w:sz w:val="22"/>
          <w:szCs w:val="22"/>
        </w:rPr>
        <w:t>% del total</w:t>
      </w:r>
      <w:r w:rsidR="00334784" w:rsidRPr="005D12C6">
        <w:rPr>
          <w:rFonts w:eastAsia="Calibri" w:cs="Times New Roman"/>
          <w:sz w:val="22"/>
          <w:szCs w:val="22"/>
        </w:rPr>
        <w:t xml:space="preserve"> del rubro de Pasivo Circulante.</w:t>
      </w:r>
    </w:p>
    <w:p w14:paraId="0AE603A7" w14:textId="77777777" w:rsidR="00072C3D" w:rsidRPr="005D12C6" w:rsidRDefault="00072C3D" w:rsidP="00B82D70">
      <w:pPr>
        <w:spacing w:before="0" w:after="0"/>
        <w:rPr>
          <w:rFonts w:eastAsia="Calibri" w:cs="Times New Roman"/>
          <w:b/>
          <w:sz w:val="22"/>
          <w:szCs w:val="22"/>
        </w:rPr>
      </w:pPr>
    </w:p>
    <w:p w14:paraId="7B2B94C1" w14:textId="11C6C1B2" w:rsidR="00B82D70" w:rsidRPr="005D12C6" w:rsidRDefault="00B82D70" w:rsidP="00B82D70">
      <w:pPr>
        <w:spacing w:before="0" w:after="0"/>
        <w:rPr>
          <w:rFonts w:eastAsia="Calibri" w:cs="Times New Roman"/>
          <w:b/>
          <w:sz w:val="22"/>
          <w:szCs w:val="22"/>
        </w:rPr>
      </w:pPr>
      <w:r w:rsidRPr="005D12C6">
        <w:rPr>
          <w:rFonts w:eastAsia="Calibri" w:cs="Times New Roman"/>
          <w:b/>
          <w:sz w:val="22"/>
          <w:szCs w:val="22"/>
        </w:rPr>
        <w:t>2.- FONDOS Y BIENES DE TERCEROS EN GARANTÍA Y/O ADMINISTRACIÓN</w:t>
      </w:r>
    </w:p>
    <w:p w14:paraId="51F6B76F" w14:textId="43B43FDA" w:rsidR="00B82D70" w:rsidRPr="005D12C6" w:rsidRDefault="00B82D70" w:rsidP="00B82D70">
      <w:pPr>
        <w:spacing w:before="0" w:after="0"/>
        <w:rPr>
          <w:rFonts w:eastAsia="Calibri" w:cs="Times New Roman"/>
          <w:sz w:val="22"/>
          <w:szCs w:val="22"/>
        </w:rPr>
      </w:pPr>
      <w:r w:rsidRPr="005D12C6">
        <w:rPr>
          <w:rFonts w:eastAsia="Calibri" w:cs="Times New Roman"/>
          <w:sz w:val="22"/>
          <w:szCs w:val="22"/>
        </w:rPr>
        <w:t>El renglón de Fondos y Bienes de Terceros en Garantía y/ o Administración a Corto Plazo, se integra la de los siguientes fondos:</w:t>
      </w:r>
    </w:p>
    <w:p w14:paraId="3C5AB091" w14:textId="2AB21A13" w:rsidR="001A5C9B" w:rsidRPr="005D12C6" w:rsidRDefault="006F2323" w:rsidP="00B82D70">
      <w:pPr>
        <w:spacing w:before="0" w:after="0"/>
        <w:rPr>
          <w:rFonts w:eastAsia="Calibri" w:cs="Times New Roman"/>
          <w:sz w:val="22"/>
          <w:szCs w:val="22"/>
        </w:rPr>
      </w:pPr>
      <w:r w:rsidRPr="005D12C6">
        <w:rPr>
          <w:noProof/>
          <w:lang w:val="es-MX" w:eastAsia="es-MX"/>
        </w:rPr>
        <w:drawing>
          <wp:inline distT="0" distB="0" distL="0" distR="0" wp14:anchorId="51ACAE38" wp14:editId="310B9D90">
            <wp:extent cx="6351270" cy="465651"/>
            <wp:effectExtent l="0" t="0" r="0" b="0"/>
            <wp:docPr id="1981202188" name="Imagen 19812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270" cy="465651"/>
                    </a:xfrm>
                    <a:prstGeom prst="rect">
                      <a:avLst/>
                    </a:prstGeom>
                    <a:noFill/>
                    <a:ln>
                      <a:noFill/>
                    </a:ln>
                  </pic:spPr>
                </pic:pic>
              </a:graphicData>
            </a:graphic>
          </wp:inline>
        </w:drawing>
      </w:r>
    </w:p>
    <w:p w14:paraId="7E3473BA" w14:textId="77777777" w:rsidR="001A5C9B" w:rsidRPr="005D12C6" w:rsidRDefault="001A5C9B" w:rsidP="00072C3D">
      <w:pPr>
        <w:spacing w:before="0" w:after="0"/>
        <w:rPr>
          <w:rFonts w:eastAsia="Calibri" w:cs="Times New Roman"/>
          <w:color w:val="000000"/>
          <w:sz w:val="22"/>
          <w:szCs w:val="22"/>
        </w:rPr>
      </w:pPr>
    </w:p>
    <w:p w14:paraId="3D32FB0E" w14:textId="5AC68480" w:rsidR="00B82D70" w:rsidRPr="005D12C6" w:rsidRDefault="001A5C9B" w:rsidP="00072C3D">
      <w:pPr>
        <w:spacing w:before="0" w:after="0"/>
        <w:rPr>
          <w:rFonts w:eastAsia="Calibri" w:cs="Times New Roman"/>
          <w:color w:val="000000"/>
          <w:sz w:val="22"/>
          <w:szCs w:val="22"/>
        </w:rPr>
      </w:pPr>
      <w:r w:rsidRPr="005D12C6">
        <w:rPr>
          <w:rFonts w:eastAsia="Calibri" w:cs="Times New Roman"/>
          <w:color w:val="000000"/>
          <w:sz w:val="22"/>
          <w:szCs w:val="22"/>
        </w:rPr>
        <w:t>Los Fondos y D</w:t>
      </w:r>
      <w:r w:rsidR="00B82D70" w:rsidRPr="005D12C6">
        <w:rPr>
          <w:rFonts w:eastAsia="Calibri" w:cs="Times New Roman"/>
          <w:color w:val="000000"/>
          <w:sz w:val="22"/>
          <w:szCs w:val="22"/>
        </w:rPr>
        <w:t>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Pr="005D12C6" w:rsidRDefault="00B82D70" w:rsidP="00072C3D">
      <w:pPr>
        <w:spacing w:before="0" w:after="0"/>
        <w:ind w:left="425"/>
        <w:rPr>
          <w:rFonts w:eastAsia="Calibri" w:cs="Times New Roman"/>
          <w:sz w:val="22"/>
          <w:szCs w:val="22"/>
        </w:rPr>
      </w:pPr>
    </w:p>
    <w:p w14:paraId="1EAC3E14" w14:textId="402FA13E" w:rsidR="00B82D70" w:rsidRPr="005D12C6" w:rsidRDefault="00B82D70" w:rsidP="00072C3D">
      <w:pPr>
        <w:spacing w:before="0" w:after="0"/>
        <w:rPr>
          <w:rFonts w:eastAsia="Calibri" w:cs="Times New Roman"/>
          <w:sz w:val="22"/>
          <w:szCs w:val="22"/>
        </w:rPr>
      </w:pPr>
      <w:r w:rsidRPr="005D12C6">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5D12C6" w:rsidRDefault="00B82D70" w:rsidP="00072C3D">
      <w:pPr>
        <w:spacing w:before="0" w:after="0"/>
        <w:rPr>
          <w:rFonts w:eastAsia="Calibri" w:cs="Times New Roman"/>
          <w:sz w:val="22"/>
          <w:szCs w:val="22"/>
        </w:rPr>
      </w:pPr>
    </w:p>
    <w:p w14:paraId="395EF2C0" w14:textId="74C0055B" w:rsidR="00B924C2" w:rsidRPr="005D12C6" w:rsidRDefault="00B82D70" w:rsidP="00072C3D">
      <w:pPr>
        <w:spacing w:before="0" w:after="0"/>
        <w:rPr>
          <w:rFonts w:eastAsia="Calibri" w:cs="Times New Roman"/>
          <w:sz w:val="22"/>
          <w:szCs w:val="22"/>
        </w:rPr>
      </w:pPr>
      <w:r w:rsidRPr="005D12C6">
        <w:rPr>
          <w:rFonts w:eastAsia="Calibri" w:cs="Times New Roman"/>
          <w:sz w:val="22"/>
          <w:szCs w:val="22"/>
        </w:rPr>
        <w:t xml:space="preserve">Entre ellos se encuentran, aquellos que se reciben para la regularización de fraccionamientos, algunas aportaciones de acreedores del </w:t>
      </w:r>
      <w:r w:rsidRPr="005D12C6">
        <w:rPr>
          <w:rFonts w:eastAsia="Calibri" w:cs="Times New Roman"/>
          <w:color w:val="000000"/>
          <w:sz w:val="22"/>
          <w:szCs w:val="22"/>
        </w:rPr>
        <w:t>Instituto de Seguridad y Servicios Sociales de los Trabajadores del Estado</w:t>
      </w:r>
      <w:r w:rsidRPr="005D12C6">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2B559958" w14:textId="77777777" w:rsidR="00722C65" w:rsidRPr="005D12C6" w:rsidRDefault="00722C65" w:rsidP="00072C3D">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5D12C6" w:rsidRDefault="00B82D70" w:rsidP="00072C3D">
      <w:pPr>
        <w:widowControl w:val="0"/>
        <w:kinsoku w:val="0"/>
        <w:spacing w:before="0" w:after="0"/>
        <w:contextualSpacing/>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PASIVO NO CIRCULANTE</w:t>
      </w:r>
      <w:r w:rsidR="0070010C" w:rsidRPr="005D12C6">
        <w:rPr>
          <w:rFonts w:eastAsia="Times New Roman" w:cs="Times New Roman"/>
          <w:b/>
          <w:color w:val="000000"/>
          <w:sz w:val="22"/>
          <w:szCs w:val="22"/>
          <w:lang w:eastAsia="es-MX"/>
        </w:rPr>
        <w:t xml:space="preserve"> (CUENTAS POR PAGAR CON VENCIMIENTO MAYOR A 365 DÍAS)</w:t>
      </w:r>
    </w:p>
    <w:p w14:paraId="01E05422" w14:textId="2DE20227" w:rsidR="00B82D70" w:rsidRPr="005D12C6" w:rsidRDefault="00B82D70"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0CD5FB98" w14:textId="10AA1741" w:rsidR="001A5C9B" w:rsidRPr="005D12C6" w:rsidRDefault="006F2323" w:rsidP="00072C3D">
      <w:pPr>
        <w:widowControl w:val="0"/>
        <w:kinsoku w:val="0"/>
        <w:spacing w:before="0" w:after="0"/>
        <w:contextualSpacing/>
        <w:rPr>
          <w:rFonts w:eastAsia="Times New Roman" w:cs="Times New Roman"/>
          <w:color w:val="000000"/>
          <w:sz w:val="22"/>
          <w:szCs w:val="22"/>
          <w:lang w:eastAsia="es-MX"/>
        </w:rPr>
      </w:pPr>
      <w:r w:rsidRPr="005D12C6">
        <w:rPr>
          <w:noProof/>
          <w:lang w:val="es-MX" w:eastAsia="es-MX"/>
        </w:rPr>
        <w:drawing>
          <wp:inline distT="0" distB="0" distL="0" distR="0" wp14:anchorId="7B664B36" wp14:editId="69FD257C">
            <wp:extent cx="6351270" cy="354618"/>
            <wp:effectExtent l="0" t="0" r="0" b="7620"/>
            <wp:docPr id="1981202189" name="Imagen 198120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354618"/>
                    </a:xfrm>
                    <a:prstGeom prst="rect">
                      <a:avLst/>
                    </a:prstGeom>
                    <a:noFill/>
                    <a:ln>
                      <a:noFill/>
                    </a:ln>
                  </pic:spPr>
                </pic:pic>
              </a:graphicData>
            </a:graphic>
          </wp:inline>
        </w:drawing>
      </w:r>
    </w:p>
    <w:p w14:paraId="139AD870" w14:textId="36933271" w:rsidR="009627F2" w:rsidRPr="005D12C6" w:rsidRDefault="009627F2" w:rsidP="00072C3D">
      <w:pPr>
        <w:spacing w:before="0" w:after="0"/>
        <w:rPr>
          <w:rFonts w:eastAsia="Calibri" w:cs="Times New Roman"/>
          <w:b/>
          <w:sz w:val="22"/>
          <w:szCs w:val="22"/>
        </w:rPr>
      </w:pPr>
      <w:r w:rsidRPr="005D12C6">
        <w:rPr>
          <w:rFonts w:eastAsia="Calibri" w:cs="Times New Roman"/>
          <w:b/>
          <w:sz w:val="22"/>
          <w:szCs w:val="22"/>
        </w:rPr>
        <w:t>3.- PASIVOS DIFERIDOS.</w:t>
      </w:r>
    </w:p>
    <w:p w14:paraId="40397814" w14:textId="77777777" w:rsidR="003440B7" w:rsidRPr="005D12C6" w:rsidRDefault="003440B7" w:rsidP="00072C3D">
      <w:pPr>
        <w:spacing w:before="0" w:after="0"/>
        <w:rPr>
          <w:rFonts w:eastAsia="Calibri" w:cs="Times New Roman"/>
          <w:sz w:val="22"/>
          <w:szCs w:val="22"/>
        </w:rPr>
      </w:pPr>
    </w:p>
    <w:p w14:paraId="2488AC15" w14:textId="58039114" w:rsidR="009627F2" w:rsidRPr="005D12C6" w:rsidRDefault="009627F2" w:rsidP="00072C3D">
      <w:pPr>
        <w:spacing w:before="0" w:after="0"/>
        <w:rPr>
          <w:rFonts w:eastAsia="Calibri" w:cs="Times New Roman"/>
          <w:sz w:val="22"/>
          <w:szCs w:val="22"/>
        </w:rPr>
      </w:pPr>
      <w:r w:rsidRPr="005D12C6">
        <w:rPr>
          <w:rFonts w:eastAsia="Calibri" w:cs="Times New Roman"/>
          <w:sz w:val="22"/>
          <w:szCs w:val="22"/>
        </w:rPr>
        <w:t>El Gobierno del Estado de Michoacán no cuenta con pasivos diferidos</w:t>
      </w:r>
      <w:r w:rsidR="00433718" w:rsidRPr="005D12C6">
        <w:rPr>
          <w:rFonts w:eastAsia="Calibri" w:cs="Times New Roman"/>
          <w:sz w:val="22"/>
          <w:szCs w:val="22"/>
        </w:rPr>
        <w:t>.</w:t>
      </w:r>
    </w:p>
    <w:p w14:paraId="27F52BC9" w14:textId="77777777" w:rsidR="003440B7" w:rsidRPr="005D12C6" w:rsidRDefault="003440B7" w:rsidP="00072C3D">
      <w:pPr>
        <w:spacing w:before="0" w:after="0"/>
        <w:rPr>
          <w:rFonts w:eastAsia="Calibri" w:cs="Times New Roman"/>
          <w:b/>
          <w:sz w:val="22"/>
          <w:szCs w:val="22"/>
        </w:rPr>
      </w:pPr>
    </w:p>
    <w:p w14:paraId="71C27830" w14:textId="173EB8DB" w:rsidR="009627F2" w:rsidRPr="005D12C6" w:rsidRDefault="009627F2" w:rsidP="00072C3D">
      <w:pPr>
        <w:spacing w:before="0" w:after="0"/>
        <w:rPr>
          <w:rFonts w:eastAsia="Calibri" w:cs="Times New Roman"/>
          <w:b/>
          <w:sz w:val="22"/>
          <w:szCs w:val="22"/>
        </w:rPr>
      </w:pPr>
      <w:r w:rsidRPr="005D12C6">
        <w:rPr>
          <w:rFonts w:eastAsia="Calibri" w:cs="Times New Roman"/>
          <w:b/>
          <w:sz w:val="22"/>
          <w:szCs w:val="22"/>
        </w:rPr>
        <w:t>4.- PROVISIONES</w:t>
      </w:r>
    </w:p>
    <w:p w14:paraId="2B5392F5" w14:textId="77777777" w:rsidR="003440B7" w:rsidRPr="005D12C6" w:rsidRDefault="003440B7" w:rsidP="00072C3D">
      <w:pPr>
        <w:spacing w:before="0" w:after="0"/>
        <w:rPr>
          <w:rFonts w:eastAsia="Calibri" w:cs="Times New Roman"/>
          <w:sz w:val="22"/>
          <w:szCs w:val="22"/>
        </w:rPr>
      </w:pPr>
    </w:p>
    <w:p w14:paraId="4740EE13" w14:textId="1BE19385" w:rsidR="009627F2" w:rsidRPr="005D12C6" w:rsidRDefault="009627F2" w:rsidP="00072C3D">
      <w:pPr>
        <w:spacing w:before="0" w:after="0"/>
        <w:rPr>
          <w:rFonts w:eastAsia="Calibri" w:cs="Times New Roman"/>
          <w:sz w:val="22"/>
          <w:szCs w:val="22"/>
        </w:rPr>
      </w:pPr>
      <w:r w:rsidRPr="005D12C6">
        <w:rPr>
          <w:rFonts w:eastAsia="Calibri" w:cs="Times New Roman"/>
          <w:sz w:val="22"/>
          <w:szCs w:val="22"/>
        </w:rPr>
        <w:t>El Gobierno del Estado de Michoacán no ha creado provisiones</w:t>
      </w:r>
      <w:r w:rsidR="00433718" w:rsidRPr="005D12C6">
        <w:rPr>
          <w:rFonts w:eastAsia="Calibri" w:cs="Times New Roman"/>
          <w:sz w:val="22"/>
          <w:szCs w:val="22"/>
        </w:rPr>
        <w:t>.</w:t>
      </w:r>
    </w:p>
    <w:p w14:paraId="039D7C37" w14:textId="77777777" w:rsidR="003440B7" w:rsidRPr="005D12C6" w:rsidRDefault="003440B7" w:rsidP="00072C3D">
      <w:pPr>
        <w:spacing w:before="0" w:after="0"/>
        <w:rPr>
          <w:rFonts w:eastAsia="Calibri" w:cs="Times New Roman"/>
          <w:b/>
          <w:sz w:val="22"/>
          <w:szCs w:val="22"/>
        </w:rPr>
      </w:pPr>
    </w:p>
    <w:p w14:paraId="2BE17B13" w14:textId="27B415AF" w:rsidR="009627F2" w:rsidRPr="005D12C6" w:rsidRDefault="009627F2" w:rsidP="00072C3D">
      <w:pPr>
        <w:spacing w:before="0" w:after="0"/>
        <w:rPr>
          <w:rFonts w:eastAsia="Calibri" w:cs="Times New Roman"/>
          <w:b/>
          <w:sz w:val="22"/>
          <w:szCs w:val="22"/>
        </w:rPr>
      </w:pPr>
      <w:r w:rsidRPr="005D12C6">
        <w:rPr>
          <w:rFonts w:eastAsia="Calibri" w:cs="Times New Roman"/>
          <w:b/>
          <w:sz w:val="22"/>
          <w:szCs w:val="22"/>
        </w:rPr>
        <w:t>5.- OTROS PASIVOS</w:t>
      </w:r>
    </w:p>
    <w:p w14:paraId="14922CFF" w14:textId="6FA5C852" w:rsidR="00401D23" w:rsidRPr="005D12C6" w:rsidRDefault="009627F2" w:rsidP="00072C3D">
      <w:pPr>
        <w:spacing w:before="0" w:after="0"/>
        <w:rPr>
          <w:rFonts w:eastAsia="Calibri" w:cs="Times New Roman"/>
          <w:sz w:val="22"/>
          <w:szCs w:val="22"/>
        </w:rPr>
      </w:pPr>
      <w:r w:rsidRPr="005D12C6">
        <w:rPr>
          <w:rFonts w:eastAsia="Calibri" w:cs="Times New Roman"/>
          <w:sz w:val="22"/>
          <w:szCs w:val="22"/>
        </w:rPr>
        <w:t>El Gobierno del Estado de Michoacán no cuenta con pasivos diferentes a los ya descritos</w:t>
      </w:r>
      <w:r w:rsidR="002552AE" w:rsidRPr="005D12C6">
        <w:rPr>
          <w:rFonts w:eastAsia="Calibri" w:cs="Times New Roman"/>
          <w:sz w:val="22"/>
          <w:szCs w:val="22"/>
        </w:rPr>
        <w:t>.</w:t>
      </w:r>
    </w:p>
    <w:p w14:paraId="6E97EAE6" w14:textId="77777777" w:rsidR="00805BCE" w:rsidRPr="005D12C6" w:rsidRDefault="00805BCE" w:rsidP="00072C3D">
      <w:pPr>
        <w:spacing w:before="0" w:after="0"/>
        <w:rPr>
          <w:color w:val="864A04" w:themeColor="accent2" w:themeShade="80"/>
        </w:rPr>
      </w:pPr>
    </w:p>
    <w:p w14:paraId="194B5BBD" w14:textId="2FA26828" w:rsidR="00B82D70" w:rsidRPr="005D12C6" w:rsidRDefault="00C33AB2" w:rsidP="00072C3D">
      <w:pPr>
        <w:spacing w:before="0" w:after="0"/>
        <w:jc w:val="left"/>
        <w:rPr>
          <w:rFonts w:eastAsia="Calibri" w:cs="Times New Roman"/>
          <w:b/>
          <w:szCs w:val="36"/>
        </w:rPr>
      </w:pPr>
      <w:r w:rsidRPr="005D12C6">
        <w:rPr>
          <w:rFonts w:eastAsia="Calibri" w:cs="Times New Roman"/>
          <w:b/>
          <w:szCs w:val="36"/>
        </w:rPr>
        <w:t xml:space="preserve">III). </w:t>
      </w:r>
      <w:r w:rsidR="00B82D70" w:rsidRPr="005D12C6">
        <w:rPr>
          <w:rFonts w:eastAsia="Calibri" w:cs="Times New Roman"/>
          <w:b/>
          <w:szCs w:val="36"/>
        </w:rPr>
        <w:t>NOTAS AL ESTADO DE VARIACIÓN DE LA HACIENDA PÚBLICA</w:t>
      </w:r>
    </w:p>
    <w:p w14:paraId="7B0B2F95" w14:textId="77777777" w:rsidR="00B82D70" w:rsidRPr="005D12C6" w:rsidRDefault="00B82D70" w:rsidP="00072C3D">
      <w:pPr>
        <w:widowControl w:val="0"/>
        <w:spacing w:before="0" w:after="0"/>
        <w:jc w:val="left"/>
        <w:rPr>
          <w:rFonts w:eastAsia="Times New Roman" w:cs="Times New Roman"/>
          <w:b/>
          <w:color w:val="000000"/>
          <w:sz w:val="22"/>
          <w:szCs w:val="22"/>
          <w:lang w:eastAsia="es-MX"/>
        </w:rPr>
      </w:pPr>
      <w:r w:rsidRPr="005D12C6">
        <w:rPr>
          <w:rFonts w:eastAsia="Times New Roman" w:cs="Times New Roman"/>
          <w:b/>
          <w:color w:val="000000"/>
          <w:sz w:val="22"/>
          <w:szCs w:val="22"/>
          <w:lang w:eastAsia="es-MX"/>
        </w:rPr>
        <w:t>HACIENDA PÚBLICA/PATRIMONIO</w:t>
      </w:r>
    </w:p>
    <w:p w14:paraId="772D63BB" w14:textId="77777777" w:rsidR="00B82D70" w:rsidRPr="005D12C6" w:rsidRDefault="00B82D70"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5D12C6" w:rsidRDefault="00B63A0A" w:rsidP="00072C3D">
      <w:pPr>
        <w:widowControl w:val="0"/>
        <w:kinsoku w:val="0"/>
        <w:spacing w:before="0" w:after="0"/>
        <w:ind w:left="426"/>
        <w:contextualSpacing/>
        <w:rPr>
          <w:rFonts w:eastAsia="Calibri" w:cs="Times New Roman"/>
          <w:b/>
          <w:sz w:val="22"/>
          <w:szCs w:val="22"/>
        </w:rPr>
      </w:pPr>
    </w:p>
    <w:p w14:paraId="01FE74CF" w14:textId="77777777" w:rsidR="00B82D70" w:rsidRPr="005D12C6" w:rsidRDefault="00B82D70" w:rsidP="00072C3D">
      <w:pPr>
        <w:spacing w:before="0" w:after="0"/>
        <w:rPr>
          <w:rFonts w:eastAsia="Calibri" w:cs="Times New Roman"/>
          <w:b/>
          <w:sz w:val="22"/>
          <w:szCs w:val="22"/>
        </w:rPr>
      </w:pPr>
      <w:r w:rsidRPr="005D12C6">
        <w:rPr>
          <w:rFonts w:eastAsia="Calibri" w:cs="Times New Roman"/>
          <w:b/>
          <w:sz w:val="22"/>
          <w:szCs w:val="22"/>
        </w:rPr>
        <w:t xml:space="preserve">    1. Patrimonio Estatal/Patrimonio Contribuido</w:t>
      </w:r>
    </w:p>
    <w:p w14:paraId="504F6A18" w14:textId="77777777" w:rsidR="00B63A0A" w:rsidRPr="005D12C6" w:rsidRDefault="00B63A0A" w:rsidP="00072C3D">
      <w:pPr>
        <w:widowControl w:val="0"/>
        <w:kinsoku w:val="0"/>
        <w:spacing w:before="0" w:after="0"/>
        <w:ind w:left="709"/>
        <w:contextualSpacing/>
        <w:rPr>
          <w:rFonts w:eastAsia="Times New Roman" w:cs="Times New Roman"/>
          <w:color w:val="000000"/>
          <w:sz w:val="22"/>
          <w:szCs w:val="22"/>
          <w:lang w:eastAsia="es-MX"/>
        </w:rPr>
      </w:pPr>
    </w:p>
    <w:p w14:paraId="19D3E84B" w14:textId="49EAD08C" w:rsidR="00B82D70" w:rsidRPr="005D12C6" w:rsidRDefault="00B82D70"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Representa las </w:t>
      </w:r>
      <w:r w:rsidRPr="005D12C6">
        <w:rPr>
          <w:rFonts w:eastAsia="Times New Roman" w:cs="Times New Roman"/>
          <w:sz w:val="22"/>
          <w:szCs w:val="22"/>
          <w:lang w:eastAsia="es-MX"/>
        </w:rPr>
        <w:t xml:space="preserve">aportaciones, con fines permanentes, del </w:t>
      </w:r>
      <w:r w:rsidRPr="005D12C6">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71833679" w14:textId="77777777" w:rsidR="00B82D70" w:rsidRPr="005D12C6" w:rsidRDefault="00B82D70" w:rsidP="00072C3D">
      <w:pPr>
        <w:widowControl w:val="0"/>
        <w:kinsoku w:val="0"/>
        <w:spacing w:before="0" w:after="0"/>
        <w:ind w:left="709"/>
        <w:contextualSpacing/>
        <w:rPr>
          <w:rFonts w:eastAsia="Times New Roman" w:cs="Times New Roman"/>
          <w:color w:val="000000"/>
          <w:sz w:val="22"/>
          <w:szCs w:val="22"/>
          <w:lang w:eastAsia="es-MX"/>
        </w:rPr>
      </w:pPr>
    </w:p>
    <w:p w14:paraId="05675F03" w14:textId="4A65F722" w:rsidR="00D573AB" w:rsidRPr="005D12C6" w:rsidRDefault="00B82D70"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Al </w:t>
      </w:r>
      <w:r w:rsidR="00053575" w:rsidRPr="005D12C6">
        <w:rPr>
          <w:rFonts w:eastAsia="Times New Roman" w:cs="Times New Roman"/>
          <w:color w:val="000000"/>
          <w:sz w:val="22"/>
          <w:szCs w:val="22"/>
          <w:lang w:eastAsia="es-MX"/>
        </w:rPr>
        <w:t>3</w:t>
      </w:r>
      <w:r w:rsidR="004E43B8" w:rsidRPr="005D12C6">
        <w:rPr>
          <w:rFonts w:eastAsia="Times New Roman" w:cs="Times New Roman"/>
          <w:color w:val="000000"/>
          <w:sz w:val="22"/>
          <w:szCs w:val="22"/>
          <w:lang w:eastAsia="es-MX"/>
        </w:rPr>
        <w:t>0</w:t>
      </w:r>
      <w:r w:rsidR="00053575" w:rsidRPr="005D12C6">
        <w:rPr>
          <w:rFonts w:eastAsia="Times New Roman" w:cs="Times New Roman"/>
          <w:color w:val="000000"/>
          <w:sz w:val="22"/>
          <w:szCs w:val="22"/>
          <w:lang w:eastAsia="es-MX"/>
        </w:rPr>
        <w:t xml:space="preserve"> de </w:t>
      </w:r>
      <w:r w:rsidR="009B6FBE" w:rsidRPr="005D12C6">
        <w:rPr>
          <w:rFonts w:eastAsia="Calibri" w:cs="Times New Roman"/>
          <w:sz w:val="22"/>
          <w:szCs w:val="22"/>
        </w:rPr>
        <w:t>junio</w:t>
      </w:r>
      <w:r w:rsidR="0003700F" w:rsidRPr="005D12C6">
        <w:rPr>
          <w:rFonts w:eastAsia="Times New Roman" w:cs="Times New Roman"/>
          <w:color w:val="000000"/>
          <w:sz w:val="22"/>
          <w:szCs w:val="22"/>
          <w:lang w:eastAsia="es-MX"/>
        </w:rPr>
        <w:t xml:space="preserve"> </w:t>
      </w:r>
      <w:r w:rsidRPr="005D12C6">
        <w:rPr>
          <w:rFonts w:eastAsia="Times New Roman" w:cs="Times New Roman"/>
          <w:color w:val="000000"/>
          <w:sz w:val="22"/>
          <w:szCs w:val="22"/>
          <w:lang w:eastAsia="es-MX"/>
        </w:rPr>
        <w:t>de 202</w:t>
      </w:r>
      <w:r w:rsidR="00602469" w:rsidRPr="005D12C6">
        <w:rPr>
          <w:rFonts w:eastAsia="Times New Roman" w:cs="Times New Roman"/>
          <w:color w:val="000000"/>
          <w:sz w:val="22"/>
          <w:szCs w:val="22"/>
          <w:lang w:eastAsia="es-MX"/>
        </w:rPr>
        <w:t>4</w:t>
      </w:r>
      <w:r w:rsidRPr="005D12C6">
        <w:rPr>
          <w:rFonts w:eastAsia="Times New Roman" w:cs="Times New Roman"/>
          <w:color w:val="000000"/>
          <w:sz w:val="22"/>
          <w:szCs w:val="22"/>
          <w:lang w:eastAsia="es-MX"/>
        </w:rPr>
        <w:t xml:space="preserve">, </w:t>
      </w:r>
      <w:r w:rsidR="003E1634" w:rsidRPr="005D12C6">
        <w:rPr>
          <w:rFonts w:eastAsia="Times New Roman" w:cs="Times New Roman"/>
          <w:color w:val="000000"/>
          <w:sz w:val="22"/>
          <w:szCs w:val="22"/>
          <w:lang w:eastAsia="es-MX"/>
        </w:rPr>
        <w:t xml:space="preserve">el total de la Hacienda Pública/Patrimonio Contribuido </w:t>
      </w:r>
      <w:r w:rsidRPr="005D12C6">
        <w:rPr>
          <w:rFonts w:eastAsia="Times New Roman" w:cs="Times New Roman"/>
          <w:color w:val="000000"/>
          <w:sz w:val="22"/>
          <w:szCs w:val="22"/>
          <w:lang w:eastAsia="es-MX"/>
        </w:rPr>
        <w:t xml:space="preserve">presenta un saldo de </w:t>
      </w:r>
      <w:r w:rsidR="003E1634" w:rsidRPr="00E46252">
        <w:rPr>
          <w:rFonts w:eastAsia="Times New Roman" w:cs="Times New Roman"/>
          <w:color w:val="000000"/>
          <w:sz w:val="22"/>
          <w:szCs w:val="22"/>
          <w:lang w:eastAsia="es-MX"/>
        </w:rPr>
        <w:t>39</w:t>
      </w:r>
      <w:r w:rsidRPr="00E46252">
        <w:rPr>
          <w:rFonts w:eastAsia="Times New Roman" w:cs="Times New Roman"/>
          <w:color w:val="000000"/>
          <w:sz w:val="22"/>
          <w:szCs w:val="22"/>
          <w:lang w:eastAsia="es-MX"/>
        </w:rPr>
        <w:t xml:space="preserve"> mil</w:t>
      </w:r>
      <w:r w:rsidR="00A93458" w:rsidRPr="00E46252">
        <w:rPr>
          <w:rFonts w:eastAsia="Times New Roman" w:cs="Times New Roman"/>
          <w:color w:val="000000"/>
          <w:sz w:val="22"/>
          <w:szCs w:val="22"/>
          <w:lang w:eastAsia="es-MX"/>
        </w:rPr>
        <w:t xml:space="preserve"> 36 </w:t>
      </w:r>
      <w:r w:rsidR="00B74BAB" w:rsidRPr="00E46252">
        <w:rPr>
          <w:rFonts w:eastAsia="Times New Roman" w:cs="Times New Roman"/>
          <w:color w:val="000000"/>
          <w:sz w:val="22"/>
          <w:szCs w:val="22"/>
          <w:lang w:eastAsia="es-MX"/>
        </w:rPr>
        <w:t>millones</w:t>
      </w:r>
      <w:r w:rsidR="00ED69BA" w:rsidRPr="00E46252">
        <w:rPr>
          <w:rFonts w:eastAsia="Times New Roman" w:cs="Times New Roman"/>
          <w:color w:val="000000"/>
          <w:sz w:val="22"/>
          <w:szCs w:val="22"/>
          <w:lang w:eastAsia="es-MX"/>
        </w:rPr>
        <w:t xml:space="preserve"> </w:t>
      </w:r>
      <w:r w:rsidR="00B74BAB" w:rsidRPr="00E46252">
        <w:rPr>
          <w:rFonts w:eastAsia="Times New Roman" w:cs="Times New Roman"/>
          <w:color w:val="000000"/>
          <w:sz w:val="22"/>
          <w:szCs w:val="22"/>
          <w:lang w:eastAsia="es-MX"/>
        </w:rPr>
        <w:t>71</w:t>
      </w:r>
      <w:r w:rsidRPr="00E46252">
        <w:rPr>
          <w:rFonts w:eastAsia="Times New Roman" w:cs="Times New Roman"/>
          <w:color w:val="000000"/>
          <w:sz w:val="22"/>
          <w:szCs w:val="22"/>
          <w:lang w:eastAsia="es-MX"/>
        </w:rPr>
        <w:t xml:space="preserve"> </w:t>
      </w:r>
      <w:r w:rsidR="0003700F" w:rsidRPr="00E46252">
        <w:rPr>
          <w:rFonts w:eastAsia="Times New Roman" w:cs="Times New Roman"/>
          <w:color w:val="000000"/>
          <w:sz w:val="22"/>
          <w:szCs w:val="22"/>
          <w:lang w:eastAsia="es-MX"/>
        </w:rPr>
        <w:t xml:space="preserve">mil </w:t>
      </w:r>
      <w:r w:rsidR="00B74BAB" w:rsidRPr="00E46252">
        <w:rPr>
          <w:rFonts w:eastAsia="Times New Roman" w:cs="Times New Roman"/>
          <w:color w:val="000000"/>
          <w:sz w:val="22"/>
          <w:szCs w:val="22"/>
          <w:lang w:eastAsia="es-MX"/>
        </w:rPr>
        <w:t>340</w:t>
      </w:r>
      <w:r w:rsidRPr="00E46252">
        <w:rPr>
          <w:rFonts w:eastAsia="Times New Roman" w:cs="Times New Roman"/>
          <w:color w:val="000000"/>
          <w:sz w:val="22"/>
          <w:szCs w:val="22"/>
          <w:lang w:eastAsia="es-MX"/>
        </w:rPr>
        <w:t xml:space="preserve"> pesos</w:t>
      </w:r>
      <w:r w:rsidR="00971EF4" w:rsidRPr="00E46252">
        <w:rPr>
          <w:rFonts w:eastAsia="Times New Roman" w:cs="Times New Roman"/>
          <w:color w:val="000000"/>
          <w:sz w:val="22"/>
          <w:szCs w:val="22"/>
          <w:lang w:eastAsia="es-MX"/>
        </w:rPr>
        <w:t xml:space="preserve"> 93 centavos</w:t>
      </w:r>
      <w:r w:rsidR="005E0451" w:rsidRPr="00E46252">
        <w:rPr>
          <w:rFonts w:eastAsia="Times New Roman" w:cs="Times New Roman"/>
          <w:color w:val="000000"/>
          <w:sz w:val="22"/>
          <w:szCs w:val="22"/>
          <w:lang w:eastAsia="es-MX"/>
        </w:rPr>
        <w:t xml:space="preserve">, </w:t>
      </w:r>
      <w:r w:rsidR="00656C01" w:rsidRPr="00E46252">
        <w:rPr>
          <w:rFonts w:eastAsia="Times New Roman" w:cs="Times New Roman"/>
          <w:color w:val="000000"/>
          <w:sz w:val="22"/>
          <w:szCs w:val="22"/>
          <w:lang w:eastAsia="es-MX"/>
        </w:rPr>
        <w:t>el cual se integra de los s</w:t>
      </w:r>
      <w:r w:rsidR="00656C01" w:rsidRPr="005D12C6">
        <w:rPr>
          <w:rFonts w:eastAsia="Times New Roman" w:cs="Times New Roman"/>
          <w:color w:val="000000"/>
          <w:sz w:val="22"/>
          <w:szCs w:val="22"/>
          <w:lang w:eastAsia="es-MX"/>
        </w:rPr>
        <w:t>iguientes rubros:</w:t>
      </w:r>
    </w:p>
    <w:p w14:paraId="423F1AD1" w14:textId="7C15AF48" w:rsidR="00146796" w:rsidRPr="005D12C6" w:rsidRDefault="00146796" w:rsidP="00072C3D">
      <w:pPr>
        <w:widowControl w:val="0"/>
        <w:kinsoku w:val="0"/>
        <w:spacing w:before="0" w:after="0"/>
        <w:contextualSpacing/>
        <w:rPr>
          <w:rFonts w:eastAsia="Times New Roman" w:cs="Times New Roman"/>
          <w:color w:val="000000"/>
          <w:sz w:val="22"/>
          <w:szCs w:val="22"/>
          <w:lang w:eastAsia="es-MX"/>
        </w:rPr>
      </w:pPr>
      <w:r w:rsidRPr="005D12C6">
        <w:rPr>
          <w:noProof/>
          <w:lang w:val="es-MX" w:eastAsia="es-MX"/>
        </w:rPr>
        <w:drawing>
          <wp:inline distT="0" distB="0" distL="0" distR="0" wp14:anchorId="6AF585D3" wp14:editId="3BCE64CC">
            <wp:extent cx="6351270" cy="57339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573399"/>
                    </a:xfrm>
                    <a:prstGeom prst="rect">
                      <a:avLst/>
                    </a:prstGeom>
                    <a:noFill/>
                    <a:ln>
                      <a:noFill/>
                    </a:ln>
                  </pic:spPr>
                </pic:pic>
              </a:graphicData>
            </a:graphic>
          </wp:inline>
        </w:drawing>
      </w:r>
    </w:p>
    <w:p w14:paraId="52701391" w14:textId="1D8F929F" w:rsidR="00B82D70" w:rsidRPr="005D12C6" w:rsidRDefault="00B82D70" w:rsidP="00146796">
      <w:pPr>
        <w:widowControl w:val="0"/>
        <w:kinsoku w:val="0"/>
        <w:spacing w:before="0" w:after="0"/>
        <w:contextualSpacing/>
        <w:rPr>
          <w:rFonts w:eastAsia="Calibri" w:cs="Times New Roman"/>
          <w:sz w:val="22"/>
          <w:szCs w:val="22"/>
        </w:rPr>
      </w:pPr>
      <w:r w:rsidRPr="005D12C6">
        <w:rPr>
          <w:rFonts w:eastAsia="Calibri" w:cs="Times New Roman"/>
          <w:sz w:val="22"/>
          <w:szCs w:val="22"/>
        </w:rPr>
        <w:t xml:space="preserve">Dentro del rubro de Patrimonio Estatal/Patrimonio </w:t>
      </w:r>
      <w:r w:rsidR="00D11E73" w:rsidRPr="005D12C6">
        <w:rPr>
          <w:rFonts w:eastAsia="Calibri" w:cs="Times New Roman"/>
          <w:sz w:val="22"/>
          <w:szCs w:val="22"/>
        </w:rPr>
        <w:t>C</w:t>
      </w:r>
      <w:r w:rsidRPr="005D12C6">
        <w:rPr>
          <w:rFonts w:eastAsia="Calibri" w:cs="Times New Roman"/>
          <w:sz w:val="22"/>
          <w:szCs w:val="22"/>
        </w:rPr>
        <w:t xml:space="preserve">ontribuido, se destaca </w:t>
      </w:r>
      <w:r w:rsidR="00570A02" w:rsidRPr="005D12C6">
        <w:rPr>
          <w:rFonts w:eastAsia="Calibri" w:cs="Times New Roman"/>
          <w:sz w:val="22"/>
          <w:szCs w:val="22"/>
        </w:rPr>
        <w:t>l</w:t>
      </w:r>
      <w:r w:rsidRPr="005D12C6">
        <w:rPr>
          <w:rFonts w:eastAsia="Calibri" w:cs="Times New Roman"/>
          <w:sz w:val="22"/>
          <w:szCs w:val="22"/>
        </w:rPr>
        <w:t xml:space="preserve">a actualización realizada de la participación del Poder Ejecutivo en el Patrimonio de las Entidades Paraestatales, </w:t>
      </w:r>
      <w:r w:rsidR="00570A02" w:rsidRPr="005D12C6">
        <w:rPr>
          <w:rFonts w:eastAsia="Calibri" w:cs="Times New Roman"/>
          <w:sz w:val="22"/>
          <w:szCs w:val="22"/>
        </w:rPr>
        <w:t xml:space="preserve">el cual </w:t>
      </w:r>
      <w:r w:rsidRPr="005D12C6">
        <w:rPr>
          <w:rFonts w:eastAsia="Calibri" w:cs="Times New Roman"/>
          <w:sz w:val="22"/>
          <w:szCs w:val="22"/>
        </w:rPr>
        <w:t xml:space="preserve">se detalla en el punto </w:t>
      </w:r>
      <w:r w:rsidR="00CC7C0A" w:rsidRPr="005D12C6">
        <w:rPr>
          <w:rFonts w:eastAsia="Calibri" w:cs="Times New Roman"/>
          <w:sz w:val="22"/>
          <w:szCs w:val="22"/>
        </w:rPr>
        <w:t>5</w:t>
      </w:r>
      <w:r w:rsidRPr="005D12C6">
        <w:rPr>
          <w:rFonts w:eastAsia="Calibri" w:cs="Times New Roman"/>
          <w:sz w:val="22"/>
          <w:szCs w:val="22"/>
        </w:rPr>
        <w:t xml:space="preserve"> de las notas de desglose. </w:t>
      </w:r>
      <w:r w:rsidR="00B63A0A" w:rsidRPr="005D12C6">
        <w:rPr>
          <w:rFonts w:eastAsia="Calibri" w:cs="Times New Roman"/>
          <w:sz w:val="22"/>
          <w:szCs w:val="22"/>
        </w:rPr>
        <w:t>Dicha actua</w:t>
      </w:r>
      <w:r w:rsidR="00D914F6" w:rsidRPr="005D12C6">
        <w:rPr>
          <w:rFonts w:eastAsia="Calibri" w:cs="Times New Roman"/>
          <w:sz w:val="22"/>
          <w:szCs w:val="22"/>
        </w:rPr>
        <w:t>lización forma parte de</w:t>
      </w:r>
      <w:r w:rsidR="00D11E73" w:rsidRPr="005D12C6">
        <w:rPr>
          <w:rFonts w:eastAsia="Calibri" w:cs="Times New Roman"/>
          <w:sz w:val="22"/>
          <w:szCs w:val="22"/>
        </w:rPr>
        <w:t xml:space="preserve">l aumento </w:t>
      </w:r>
      <w:r w:rsidR="00B63A0A" w:rsidRPr="005D12C6">
        <w:rPr>
          <w:rFonts w:eastAsia="Calibri" w:cs="Times New Roman"/>
          <w:sz w:val="22"/>
          <w:szCs w:val="22"/>
        </w:rPr>
        <w:t>del Patrimonio contribuido.</w:t>
      </w:r>
    </w:p>
    <w:p w14:paraId="49F5EB82" w14:textId="77777777" w:rsidR="00072C3D" w:rsidRPr="005D12C6" w:rsidRDefault="00072C3D" w:rsidP="00D11E73">
      <w:pPr>
        <w:spacing w:before="0" w:after="0"/>
        <w:rPr>
          <w:rFonts w:eastAsia="Calibri" w:cs="Times New Roman"/>
          <w:b/>
          <w:sz w:val="22"/>
          <w:szCs w:val="22"/>
        </w:rPr>
      </w:pPr>
    </w:p>
    <w:p w14:paraId="3C275A37" w14:textId="4BD8CE08" w:rsidR="00B82D70" w:rsidRPr="005D12C6" w:rsidRDefault="00B82D70" w:rsidP="00D11E73">
      <w:pPr>
        <w:spacing w:before="0" w:after="0"/>
        <w:rPr>
          <w:rFonts w:eastAsia="Calibri" w:cs="Times New Roman"/>
          <w:b/>
          <w:sz w:val="22"/>
          <w:szCs w:val="22"/>
        </w:rPr>
      </w:pPr>
      <w:r w:rsidRPr="005D12C6">
        <w:rPr>
          <w:rFonts w:eastAsia="Calibri" w:cs="Times New Roman"/>
          <w:b/>
          <w:sz w:val="22"/>
          <w:szCs w:val="22"/>
        </w:rPr>
        <w:t>2. Patrimonio Estatal/Patrimonio Generado</w:t>
      </w:r>
    </w:p>
    <w:p w14:paraId="6813D747" w14:textId="51F3458D" w:rsidR="00C0303A" w:rsidRPr="005D12C6" w:rsidRDefault="00B82D70" w:rsidP="00D11E73">
      <w:pPr>
        <w:widowControl w:val="0"/>
        <w:kinsoku w:val="0"/>
        <w:spacing w:before="0" w:after="0"/>
        <w:contextualSpacing/>
        <w:rPr>
          <w:rFonts w:eastAsia="Calibri" w:cs="Times New Roman"/>
          <w:color w:val="000000"/>
          <w:sz w:val="22"/>
          <w:szCs w:val="22"/>
        </w:rPr>
      </w:pPr>
      <w:r w:rsidRPr="005D12C6">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sidRPr="005D12C6">
        <w:rPr>
          <w:rFonts w:eastAsia="Calibri" w:cs="Times New Roman"/>
          <w:color w:val="000000"/>
          <w:sz w:val="22"/>
          <w:szCs w:val="22"/>
        </w:rPr>
        <w:t xml:space="preserve"> de ejercicios anteriores</w:t>
      </w:r>
      <w:r w:rsidRPr="005D12C6">
        <w:rPr>
          <w:rFonts w:eastAsia="Calibri" w:cs="Times New Roman"/>
          <w:color w:val="000000"/>
          <w:sz w:val="22"/>
          <w:szCs w:val="22"/>
        </w:rPr>
        <w:t xml:space="preserve"> que le afectan de acuerdo con los lineamientos emitidos por el Consejo Nacional de Armonización Contable.</w:t>
      </w:r>
    </w:p>
    <w:p w14:paraId="60D2D193" w14:textId="02357D8A" w:rsidR="009A10B9" w:rsidRPr="005D12C6" w:rsidRDefault="00971EF4" w:rsidP="00D11E73">
      <w:pPr>
        <w:widowControl w:val="0"/>
        <w:kinsoku w:val="0"/>
        <w:spacing w:before="0" w:after="0"/>
        <w:contextualSpacing/>
        <w:rPr>
          <w:rFonts w:eastAsia="Calibri" w:cs="Times New Roman"/>
          <w:color w:val="000000"/>
          <w:sz w:val="22"/>
          <w:szCs w:val="22"/>
        </w:rPr>
      </w:pPr>
      <w:r w:rsidRPr="005D12C6">
        <w:rPr>
          <w:noProof/>
          <w:lang w:val="es-MX" w:eastAsia="es-MX"/>
        </w:rPr>
        <w:drawing>
          <wp:inline distT="0" distB="0" distL="0" distR="0" wp14:anchorId="798FBE94" wp14:editId="39189118">
            <wp:extent cx="6351270" cy="684274"/>
            <wp:effectExtent l="0" t="0" r="0" b="1905"/>
            <wp:docPr id="1981202191" name="Imagen 19812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684274"/>
                    </a:xfrm>
                    <a:prstGeom prst="rect">
                      <a:avLst/>
                    </a:prstGeom>
                    <a:noFill/>
                    <a:ln>
                      <a:noFill/>
                    </a:ln>
                  </pic:spPr>
                </pic:pic>
              </a:graphicData>
            </a:graphic>
          </wp:inline>
        </w:drawing>
      </w:r>
    </w:p>
    <w:p w14:paraId="38F10E24" w14:textId="051CFCBE" w:rsidR="00B82D70" w:rsidRPr="005D12C6" w:rsidRDefault="00B82D70" w:rsidP="00D11E73">
      <w:pPr>
        <w:widowControl w:val="0"/>
        <w:kinsoku w:val="0"/>
        <w:spacing w:before="0" w:after="0"/>
        <w:contextualSpacing/>
        <w:rPr>
          <w:rFonts w:eastAsia="Calibri" w:cs="Times New Roman"/>
          <w:color w:val="000000"/>
          <w:sz w:val="22"/>
          <w:szCs w:val="22"/>
        </w:rPr>
      </w:pPr>
    </w:p>
    <w:p w14:paraId="12B83AD8" w14:textId="66946994" w:rsidR="00B82D70" w:rsidRPr="005D12C6" w:rsidRDefault="00B82D70" w:rsidP="00072C3D">
      <w:pPr>
        <w:spacing w:before="0" w:after="0"/>
        <w:rPr>
          <w:rFonts w:ascii="Arial" w:hAnsi="Arial" w:cs="Arial"/>
          <w:b/>
          <w:color w:val="000000"/>
          <w:sz w:val="22"/>
          <w:szCs w:val="22"/>
        </w:rPr>
      </w:pPr>
      <w:r w:rsidRPr="005D12C6">
        <w:rPr>
          <w:rFonts w:eastAsia="Calibri" w:cs="Times New Roman"/>
          <w:b/>
          <w:sz w:val="22"/>
          <w:szCs w:val="22"/>
        </w:rPr>
        <w:t>Resultado del Ejercicio</w:t>
      </w:r>
      <w:r w:rsidRPr="005D12C6">
        <w:rPr>
          <w:rFonts w:ascii="Arial" w:hAnsi="Arial" w:cs="Arial"/>
          <w:b/>
          <w:color w:val="000000"/>
          <w:sz w:val="22"/>
          <w:szCs w:val="22"/>
        </w:rPr>
        <w:t xml:space="preserve"> </w:t>
      </w:r>
    </w:p>
    <w:p w14:paraId="5FC13054" w14:textId="77777777" w:rsidR="00187B10" w:rsidRPr="005D12C6" w:rsidRDefault="00187B10" w:rsidP="00072C3D">
      <w:pPr>
        <w:widowControl w:val="0"/>
        <w:kinsoku w:val="0"/>
        <w:spacing w:before="0" w:after="0"/>
        <w:contextualSpacing/>
        <w:rPr>
          <w:rFonts w:eastAsia="Times New Roman" w:cs="Times New Roman"/>
          <w:color w:val="000000"/>
          <w:sz w:val="22"/>
          <w:szCs w:val="22"/>
          <w:lang w:eastAsia="es-MX"/>
        </w:rPr>
      </w:pPr>
    </w:p>
    <w:p w14:paraId="29DDC670" w14:textId="3DD89C32" w:rsidR="00B82D70" w:rsidRPr="005D12C6" w:rsidRDefault="00B82D70" w:rsidP="00072C3D">
      <w:pPr>
        <w:widowControl w:val="0"/>
        <w:kinsoku w:val="0"/>
        <w:spacing w:before="0" w:after="0"/>
        <w:contextualSpacing/>
        <w:rPr>
          <w:rFonts w:eastAsia="Calibri" w:cs="Times New Roman"/>
          <w:b/>
          <w:sz w:val="22"/>
          <w:szCs w:val="22"/>
        </w:rPr>
      </w:pPr>
      <w:r w:rsidRPr="005D12C6">
        <w:rPr>
          <w:rFonts w:eastAsia="Times New Roman" w:cs="Times New Roman"/>
          <w:color w:val="000000"/>
          <w:sz w:val="22"/>
          <w:szCs w:val="22"/>
          <w:lang w:eastAsia="es-MX"/>
        </w:rPr>
        <w:t xml:space="preserve">El monto de </w:t>
      </w:r>
      <w:r w:rsidR="005D0F41" w:rsidRPr="005D12C6">
        <w:rPr>
          <w:rFonts w:eastAsia="Times New Roman" w:cs="Times New Roman"/>
          <w:color w:val="000000"/>
          <w:sz w:val="22"/>
          <w:szCs w:val="22"/>
          <w:lang w:eastAsia="es-MX"/>
        </w:rPr>
        <w:t>6</w:t>
      </w:r>
      <w:r w:rsidR="00570A02" w:rsidRPr="005D12C6">
        <w:rPr>
          <w:rFonts w:eastAsia="Calibri" w:cs="Times New Roman"/>
          <w:color w:val="000000"/>
          <w:sz w:val="22"/>
          <w:szCs w:val="22"/>
        </w:rPr>
        <w:t xml:space="preserve"> mil </w:t>
      </w:r>
      <w:r w:rsidR="005D0F41" w:rsidRPr="005D12C6">
        <w:rPr>
          <w:rFonts w:eastAsia="Calibri" w:cs="Times New Roman"/>
          <w:color w:val="000000"/>
          <w:sz w:val="22"/>
          <w:szCs w:val="22"/>
        </w:rPr>
        <w:t>127</w:t>
      </w:r>
      <w:r w:rsidR="00401D23" w:rsidRPr="005D12C6">
        <w:rPr>
          <w:rFonts w:eastAsia="Calibri" w:cs="Times New Roman"/>
          <w:color w:val="000000"/>
          <w:sz w:val="22"/>
          <w:szCs w:val="22"/>
        </w:rPr>
        <w:t xml:space="preserve"> </w:t>
      </w:r>
      <w:r w:rsidR="00570A02" w:rsidRPr="005D12C6">
        <w:rPr>
          <w:rFonts w:eastAsia="Calibri" w:cs="Times New Roman"/>
          <w:color w:val="000000"/>
          <w:sz w:val="22"/>
          <w:szCs w:val="22"/>
        </w:rPr>
        <w:t xml:space="preserve">millones </w:t>
      </w:r>
      <w:r w:rsidR="005D0F41" w:rsidRPr="005D12C6">
        <w:rPr>
          <w:rFonts w:eastAsia="Calibri" w:cs="Times New Roman"/>
          <w:color w:val="000000"/>
          <w:sz w:val="22"/>
          <w:szCs w:val="22"/>
        </w:rPr>
        <w:t>210</w:t>
      </w:r>
      <w:r w:rsidR="00570A02" w:rsidRPr="005D12C6">
        <w:rPr>
          <w:rFonts w:eastAsia="Calibri" w:cs="Times New Roman"/>
          <w:color w:val="000000"/>
          <w:sz w:val="22"/>
          <w:szCs w:val="22"/>
        </w:rPr>
        <w:t xml:space="preserve"> mil </w:t>
      </w:r>
      <w:r w:rsidR="00F75509" w:rsidRPr="005D12C6">
        <w:rPr>
          <w:rFonts w:eastAsia="Calibri" w:cs="Times New Roman"/>
          <w:color w:val="000000"/>
          <w:sz w:val="22"/>
          <w:szCs w:val="22"/>
        </w:rPr>
        <w:t>8</w:t>
      </w:r>
      <w:r w:rsidR="005D0F41" w:rsidRPr="005D12C6">
        <w:rPr>
          <w:rFonts w:eastAsia="Calibri" w:cs="Times New Roman"/>
          <w:color w:val="000000"/>
          <w:sz w:val="22"/>
          <w:szCs w:val="22"/>
        </w:rPr>
        <w:t>17</w:t>
      </w:r>
      <w:r w:rsidR="00570A02" w:rsidRPr="005D12C6">
        <w:rPr>
          <w:rFonts w:eastAsia="Calibri" w:cs="Times New Roman"/>
          <w:color w:val="000000"/>
          <w:sz w:val="22"/>
          <w:szCs w:val="22"/>
        </w:rPr>
        <w:t xml:space="preserve"> pesos</w:t>
      </w:r>
      <w:r w:rsidR="005D0F41" w:rsidRPr="005D12C6">
        <w:rPr>
          <w:rFonts w:eastAsia="Calibri" w:cs="Times New Roman"/>
          <w:color w:val="000000"/>
          <w:sz w:val="22"/>
          <w:szCs w:val="22"/>
        </w:rPr>
        <w:t xml:space="preserve"> 80 centavos</w:t>
      </w:r>
      <w:r w:rsidRPr="005D12C6">
        <w:rPr>
          <w:rFonts w:eastAsia="Times New Roman" w:cs="Times New Roman"/>
          <w:color w:val="000000"/>
          <w:sz w:val="22"/>
          <w:szCs w:val="22"/>
          <w:lang w:eastAsia="es-MX"/>
        </w:rPr>
        <w:t xml:space="preserve">, representa un ahorro del ejercicio, anteriormente denominado superávit, por la diferencia resultante entre el total de los ingresos (mismos que incluyen los Recursos </w:t>
      </w:r>
      <w:r w:rsidRPr="005D12C6">
        <w:rPr>
          <w:rFonts w:eastAsia="Times New Roman" w:cs="Times New Roman"/>
          <w:color w:val="000000"/>
          <w:sz w:val="22"/>
          <w:szCs w:val="22"/>
          <w:lang w:eastAsia="es-MX"/>
        </w:rPr>
        <w:lastRenderedPageBreak/>
        <w:t>Federales) y el total de los gastos devengados al cierre del mismo.</w:t>
      </w:r>
    </w:p>
    <w:p w14:paraId="3C1275A1" w14:textId="77777777" w:rsidR="00B82D70" w:rsidRPr="005D12C6" w:rsidRDefault="00B82D70" w:rsidP="00072C3D">
      <w:pPr>
        <w:spacing w:before="0" w:after="0"/>
        <w:rPr>
          <w:rFonts w:eastAsia="Calibri" w:cs="Times New Roman"/>
          <w:b/>
          <w:sz w:val="22"/>
          <w:szCs w:val="22"/>
        </w:rPr>
      </w:pPr>
    </w:p>
    <w:p w14:paraId="2B376B25" w14:textId="77777777" w:rsidR="00B82D70" w:rsidRPr="005D12C6" w:rsidRDefault="00B82D70" w:rsidP="00072C3D">
      <w:pPr>
        <w:spacing w:before="0" w:after="0"/>
        <w:rPr>
          <w:rFonts w:ascii="Arial" w:hAnsi="Arial" w:cs="Arial"/>
          <w:b/>
          <w:color w:val="000000"/>
          <w:sz w:val="22"/>
          <w:szCs w:val="22"/>
        </w:rPr>
      </w:pPr>
      <w:r w:rsidRPr="005D12C6">
        <w:rPr>
          <w:rFonts w:eastAsia="Calibri" w:cs="Times New Roman"/>
          <w:b/>
          <w:sz w:val="22"/>
          <w:szCs w:val="22"/>
        </w:rPr>
        <w:t>Resultado de Ejercicios Anteriores</w:t>
      </w:r>
      <w:r w:rsidRPr="005D12C6">
        <w:rPr>
          <w:rFonts w:ascii="Arial" w:hAnsi="Arial" w:cs="Arial"/>
          <w:b/>
          <w:color w:val="000000"/>
          <w:sz w:val="22"/>
          <w:szCs w:val="22"/>
        </w:rPr>
        <w:t xml:space="preserve"> </w:t>
      </w:r>
    </w:p>
    <w:p w14:paraId="743363B1" w14:textId="77777777" w:rsidR="00187B10" w:rsidRPr="005D12C6" w:rsidRDefault="00187B10" w:rsidP="00072C3D">
      <w:pPr>
        <w:spacing w:before="0" w:after="0"/>
        <w:rPr>
          <w:rFonts w:eastAsia="Times New Roman" w:cs="Times New Roman"/>
          <w:color w:val="000000"/>
          <w:sz w:val="22"/>
          <w:szCs w:val="22"/>
          <w:lang w:eastAsia="es-MX"/>
        </w:rPr>
      </w:pPr>
    </w:p>
    <w:p w14:paraId="56B40D71" w14:textId="426728AA" w:rsidR="00B82D70" w:rsidRPr="005D12C6" w:rsidRDefault="00B82D70" w:rsidP="00072C3D">
      <w:pPr>
        <w:spacing w:before="0" w:after="0"/>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00D11E73" w:rsidRPr="005D12C6">
        <w:rPr>
          <w:rFonts w:eastAsia="Times New Roman" w:cs="Times New Roman"/>
          <w:color w:val="000000"/>
          <w:sz w:val="22"/>
          <w:szCs w:val="22"/>
          <w:lang w:eastAsia="es-MX"/>
        </w:rPr>
        <w:t>1</w:t>
      </w:r>
      <w:r w:rsidR="00F75509" w:rsidRPr="005D12C6">
        <w:rPr>
          <w:rFonts w:eastAsia="Times New Roman" w:cs="Times New Roman"/>
          <w:color w:val="000000"/>
          <w:sz w:val="22"/>
          <w:szCs w:val="22"/>
          <w:lang w:eastAsia="es-MX"/>
        </w:rPr>
        <w:t>5</w:t>
      </w:r>
      <w:r w:rsidRPr="005D12C6">
        <w:rPr>
          <w:rFonts w:eastAsia="Times New Roman" w:cs="Times New Roman"/>
          <w:color w:val="000000"/>
          <w:sz w:val="22"/>
          <w:szCs w:val="22"/>
          <w:lang w:eastAsia="es-MX"/>
        </w:rPr>
        <w:t xml:space="preserve"> mil </w:t>
      </w:r>
      <w:r w:rsidR="00D11E73" w:rsidRPr="005D12C6">
        <w:rPr>
          <w:rFonts w:eastAsia="Times New Roman" w:cs="Times New Roman"/>
          <w:color w:val="000000"/>
          <w:sz w:val="22"/>
          <w:szCs w:val="22"/>
          <w:lang w:eastAsia="es-MX"/>
        </w:rPr>
        <w:t>7</w:t>
      </w:r>
      <w:r w:rsidR="00F75509" w:rsidRPr="005D12C6">
        <w:rPr>
          <w:rFonts w:eastAsia="Times New Roman" w:cs="Times New Roman"/>
          <w:color w:val="000000"/>
          <w:sz w:val="22"/>
          <w:szCs w:val="22"/>
          <w:lang w:eastAsia="es-MX"/>
        </w:rPr>
        <w:t>65</w:t>
      </w:r>
      <w:r w:rsidR="00D11E73" w:rsidRPr="005D12C6">
        <w:rPr>
          <w:rFonts w:eastAsia="Times New Roman" w:cs="Times New Roman"/>
          <w:color w:val="000000"/>
          <w:sz w:val="22"/>
          <w:szCs w:val="22"/>
          <w:lang w:eastAsia="es-MX"/>
        </w:rPr>
        <w:t xml:space="preserve"> mi</w:t>
      </w:r>
      <w:r w:rsidRPr="005D12C6">
        <w:rPr>
          <w:rFonts w:eastAsia="Times New Roman" w:cs="Times New Roman"/>
          <w:color w:val="000000"/>
          <w:sz w:val="22"/>
          <w:szCs w:val="22"/>
          <w:lang w:eastAsia="es-MX"/>
        </w:rPr>
        <w:t xml:space="preserve">llones </w:t>
      </w:r>
      <w:r w:rsidR="00F75509" w:rsidRPr="005D12C6">
        <w:rPr>
          <w:rFonts w:eastAsia="Times New Roman" w:cs="Times New Roman"/>
          <w:color w:val="000000"/>
          <w:sz w:val="22"/>
          <w:szCs w:val="22"/>
          <w:lang w:eastAsia="es-MX"/>
        </w:rPr>
        <w:t>567</w:t>
      </w:r>
      <w:r w:rsidRPr="005D12C6">
        <w:rPr>
          <w:rFonts w:eastAsia="Times New Roman" w:cs="Times New Roman"/>
          <w:color w:val="000000"/>
          <w:sz w:val="22"/>
          <w:szCs w:val="22"/>
          <w:lang w:eastAsia="es-MX"/>
        </w:rPr>
        <w:t xml:space="preserve"> mil </w:t>
      </w:r>
      <w:r w:rsidR="005D0F41" w:rsidRPr="005D12C6">
        <w:rPr>
          <w:rFonts w:eastAsia="Times New Roman" w:cs="Times New Roman"/>
          <w:color w:val="000000"/>
          <w:sz w:val="22"/>
          <w:szCs w:val="22"/>
          <w:lang w:eastAsia="es-MX"/>
        </w:rPr>
        <w:t>599</w:t>
      </w:r>
      <w:r w:rsidRPr="005D12C6">
        <w:rPr>
          <w:rFonts w:eastAsia="Times New Roman" w:cs="Times New Roman"/>
          <w:color w:val="000000"/>
          <w:sz w:val="22"/>
          <w:szCs w:val="22"/>
          <w:lang w:eastAsia="es-MX"/>
        </w:rPr>
        <w:t xml:space="preserve"> pesos</w:t>
      </w:r>
      <w:r w:rsidR="005D0F41" w:rsidRPr="005D12C6">
        <w:rPr>
          <w:rFonts w:eastAsia="Times New Roman" w:cs="Times New Roman"/>
          <w:color w:val="000000"/>
          <w:sz w:val="22"/>
          <w:szCs w:val="22"/>
          <w:lang w:eastAsia="es-MX"/>
        </w:rPr>
        <w:t xml:space="preserve"> 72 centavos</w:t>
      </w:r>
      <w:r w:rsidRPr="005D12C6">
        <w:rPr>
          <w:rFonts w:eastAsia="Times New Roman" w:cs="Times New Roman"/>
          <w:color w:val="000000"/>
          <w:sz w:val="22"/>
          <w:szCs w:val="22"/>
          <w:lang w:eastAsia="es-MX"/>
        </w:rPr>
        <w:t>, en donde ya se incluye el</w:t>
      </w:r>
      <w:r w:rsidR="00634229" w:rsidRPr="005D12C6">
        <w:rPr>
          <w:rFonts w:eastAsia="Times New Roman" w:cs="Times New Roman"/>
          <w:color w:val="000000"/>
          <w:sz w:val="22"/>
          <w:szCs w:val="22"/>
          <w:lang w:eastAsia="es-MX"/>
        </w:rPr>
        <w:t xml:space="preserve"> </w:t>
      </w:r>
      <w:r w:rsidRPr="005D12C6">
        <w:rPr>
          <w:rFonts w:eastAsia="Times New Roman" w:cs="Times New Roman"/>
          <w:color w:val="000000"/>
          <w:sz w:val="22"/>
          <w:szCs w:val="22"/>
          <w:lang w:eastAsia="es-MX"/>
        </w:rPr>
        <w:t>resultado superavitario o ahorro que se obtuvo en el ejercicio 202</w:t>
      </w:r>
      <w:r w:rsidR="00F75509" w:rsidRPr="005D12C6">
        <w:rPr>
          <w:rFonts w:eastAsia="Times New Roman" w:cs="Times New Roman"/>
          <w:color w:val="000000"/>
          <w:sz w:val="22"/>
          <w:szCs w:val="22"/>
          <w:lang w:eastAsia="es-MX"/>
        </w:rPr>
        <w:t>3</w:t>
      </w:r>
      <w:r w:rsidRPr="005D12C6">
        <w:rPr>
          <w:rFonts w:eastAsia="Times New Roman" w:cs="Times New Roman"/>
          <w:color w:val="000000"/>
          <w:sz w:val="22"/>
          <w:szCs w:val="22"/>
          <w:lang w:eastAsia="es-MX"/>
        </w:rPr>
        <w:t xml:space="preserve"> por un importe de </w:t>
      </w:r>
      <w:r w:rsidR="001103CD" w:rsidRPr="005756B3">
        <w:rPr>
          <w:rFonts w:eastAsia="Times New Roman" w:cs="Times New Roman"/>
          <w:color w:val="000000"/>
          <w:sz w:val="22"/>
          <w:szCs w:val="22"/>
          <w:lang w:eastAsia="es-MX"/>
        </w:rPr>
        <w:t>3</w:t>
      </w:r>
      <w:r w:rsidR="006D2345" w:rsidRPr="005756B3">
        <w:rPr>
          <w:rFonts w:eastAsia="Calibri" w:cs="Times New Roman"/>
          <w:color w:val="000000"/>
          <w:sz w:val="22"/>
          <w:szCs w:val="22"/>
        </w:rPr>
        <w:t xml:space="preserve"> mil </w:t>
      </w:r>
      <w:r w:rsidR="00A72972" w:rsidRPr="005756B3">
        <w:rPr>
          <w:rFonts w:eastAsia="Calibri" w:cs="Times New Roman"/>
          <w:color w:val="000000"/>
          <w:sz w:val="22"/>
          <w:szCs w:val="22"/>
        </w:rPr>
        <w:t>15</w:t>
      </w:r>
      <w:r w:rsidR="001103CD" w:rsidRPr="005756B3">
        <w:rPr>
          <w:rFonts w:eastAsia="Calibri" w:cs="Times New Roman"/>
          <w:color w:val="000000"/>
          <w:sz w:val="22"/>
          <w:szCs w:val="22"/>
        </w:rPr>
        <w:t xml:space="preserve"> </w:t>
      </w:r>
      <w:r w:rsidR="006D2345" w:rsidRPr="005756B3">
        <w:rPr>
          <w:rFonts w:eastAsia="Calibri" w:cs="Times New Roman"/>
          <w:color w:val="000000"/>
          <w:sz w:val="22"/>
          <w:szCs w:val="22"/>
        </w:rPr>
        <w:t xml:space="preserve">millones </w:t>
      </w:r>
      <w:r w:rsidR="00A72972" w:rsidRPr="005756B3">
        <w:rPr>
          <w:rFonts w:eastAsia="Calibri" w:cs="Times New Roman"/>
          <w:color w:val="000000"/>
          <w:sz w:val="22"/>
          <w:szCs w:val="22"/>
        </w:rPr>
        <w:t>11</w:t>
      </w:r>
      <w:r w:rsidR="006D2345" w:rsidRPr="005756B3">
        <w:rPr>
          <w:rFonts w:eastAsia="Calibri" w:cs="Times New Roman"/>
          <w:color w:val="000000"/>
          <w:sz w:val="22"/>
          <w:szCs w:val="22"/>
        </w:rPr>
        <w:t xml:space="preserve"> mil </w:t>
      </w:r>
      <w:r w:rsidR="00A72972" w:rsidRPr="005756B3">
        <w:rPr>
          <w:rFonts w:eastAsia="Calibri" w:cs="Times New Roman"/>
          <w:color w:val="000000"/>
          <w:sz w:val="22"/>
          <w:szCs w:val="22"/>
        </w:rPr>
        <w:t>895</w:t>
      </w:r>
      <w:r w:rsidR="00D11E73" w:rsidRPr="005756B3">
        <w:rPr>
          <w:rFonts w:eastAsia="Calibri" w:cs="Times New Roman"/>
          <w:color w:val="000000"/>
          <w:sz w:val="22"/>
          <w:szCs w:val="22"/>
        </w:rPr>
        <w:t xml:space="preserve"> pesos</w:t>
      </w:r>
      <w:r w:rsidRPr="005756B3">
        <w:rPr>
          <w:rFonts w:eastAsia="Times New Roman" w:cs="Times New Roman"/>
          <w:color w:val="000000"/>
          <w:sz w:val="22"/>
          <w:szCs w:val="22"/>
          <w:lang w:eastAsia="es-MX"/>
        </w:rPr>
        <w:t>.</w:t>
      </w:r>
    </w:p>
    <w:p w14:paraId="4EA6E7C9" w14:textId="77777777" w:rsidR="000F24EE" w:rsidRPr="005D12C6" w:rsidRDefault="000F24EE" w:rsidP="00072C3D">
      <w:pPr>
        <w:widowControl w:val="0"/>
        <w:kinsoku w:val="0"/>
        <w:spacing w:before="0" w:after="0"/>
        <w:contextualSpacing/>
        <w:rPr>
          <w:rFonts w:eastAsia="Times New Roman" w:cs="Times New Roman"/>
          <w:color w:val="000000"/>
          <w:sz w:val="22"/>
          <w:szCs w:val="22"/>
          <w:lang w:eastAsia="es-MX"/>
        </w:rPr>
      </w:pPr>
    </w:p>
    <w:p w14:paraId="08D2FFED" w14:textId="2DCE4326" w:rsidR="009A652D" w:rsidRPr="005D12C6" w:rsidRDefault="009A652D" w:rsidP="00072C3D">
      <w:pPr>
        <w:spacing w:before="0" w:after="0"/>
        <w:rPr>
          <w:rFonts w:ascii="Arial" w:hAnsi="Arial" w:cs="Arial"/>
          <w:b/>
          <w:color w:val="000000"/>
          <w:sz w:val="22"/>
          <w:szCs w:val="22"/>
        </w:rPr>
      </w:pPr>
      <w:r w:rsidRPr="005D12C6">
        <w:rPr>
          <w:rFonts w:eastAsia="Calibri" w:cs="Times New Roman"/>
          <w:b/>
          <w:sz w:val="22"/>
          <w:szCs w:val="22"/>
        </w:rPr>
        <w:t>Rectificaciones de Resultado de Ejercicios Anteriores</w:t>
      </w:r>
      <w:r w:rsidRPr="005D12C6">
        <w:rPr>
          <w:rFonts w:ascii="Arial" w:hAnsi="Arial" w:cs="Arial"/>
          <w:b/>
          <w:color w:val="000000"/>
          <w:sz w:val="22"/>
          <w:szCs w:val="22"/>
        </w:rPr>
        <w:t xml:space="preserve"> </w:t>
      </w:r>
    </w:p>
    <w:p w14:paraId="72847D20" w14:textId="77777777" w:rsidR="00187B10" w:rsidRPr="005D12C6" w:rsidRDefault="00187B10" w:rsidP="00072C3D">
      <w:pPr>
        <w:widowControl w:val="0"/>
        <w:kinsoku w:val="0"/>
        <w:spacing w:before="0" w:after="0"/>
        <w:contextualSpacing/>
        <w:rPr>
          <w:rFonts w:eastAsia="Times New Roman" w:cs="Times New Roman"/>
          <w:color w:val="000000"/>
          <w:sz w:val="22"/>
          <w:szCs w:val="22"/>
          <w:lang w:eastAsia="es-MX"/>
        </w:rPr>
      </w:pPr>
    </w:p>
    <w:p w14:paraId="70541AC7" w14:textId="7F20A95D" w:rsidR="00401D23" w:rsidRPr="005D12C6" w:rsidRDefault="003E0BBE" w:rsidP="00072C3D">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En esta cuenta se </w:t>
      </w:r>
      <w:r w:rsidR="00072B36" w:rsidRPr="005D12C6">
        <w:rPr>
          <w:rFonts w:eastAsia="Times New Roman" w:cs="Times New Roman"/>
          <w:color w:val="000000"/>
          <w:sz w:val="22"/>
          <w:szCs w:val="22"/>
          <w:lang w:eastAsia="es-MX"/>
        </w:rPr>
        <w:t>establece el</w:t>
      </w:r>
      <w:r w:rsidRPr="005D12C6">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sidRPr="005D12C6">
        <w:rPr>
          <w:rFonts w:eastAsia="Times New Roman" w:cs="Times New Roman"/>
          <w:color w:val="000000"/>
          <w:sz w:val="22"/>
          <w:szCs w:val="22"/>
          <w:lang w:eastAsia="es-MX"/>
        </w:rPr>
        <w:t>.</w:t>
      </w:r>
    </w:p>
    <w:p w14:paraId="48E36EC0" w14:textId="105CB936" w:rsidR="007E1CED" w:rsidRPr="005D12C6" w:rsidRDefault="007E1CED" w:rsidP="00C33638">
      <w:pPr>
        <w:widowControl w:val="0"/>
        <w:kinsoku w:val="0"/>
        <w:spacing w:before="0" w:after="0"/>
        <w:contextualSpacing/>
        <w:rPr>
          <w:rFonts w:eastAsia="Calibri" w:cs="Times New Roman"/>
          <w:b/>
          <w:szCs w:val="36"/>
        </w:rPr>
      </w:pPr>
    </w:p>
    <w:p w14:paraId="7796E600" w14:textId="5A152E96" w:rsidR="00C33638" w:rsidRPr="005D12C6" w:rsidRDefault="009627F2" w:rsidP="00C33638">
      <w:pPr>
        <w:widowControl w:val="0"/>
        <w:kinsoku w:val="0"/>
        <w:spacing w:before="0" w:after="0"/>
        <w:contextualSpacing/>
        <w:rPr>
          <w:rFonts w:eastAsia="Calibri" w:cs="Times New Roman"/>
          <w:b/>
          <w:szCs w:val="36"/>
        </w:rPr>
      </w:pPr>
      <w:r w:rsidRPr="005D12C6">
        <w:rPr>
          <w:rFonts w:eastAsia="Calibri" w:cs="Times New Roman"/>
          <w:b/>
          <w:szCs w:val="36"/>
        </w:rPr>
        <w:t xml:space="preserve">IV) </w:t>
      </w:r>
      <w:r w:rsidR="00C33638" w:rsidRPr="005D12C6">
        <w:rPr>
          <w:rFonts w:eastAsia="Calibri" w:cs="Times New Roman"/>
          <w:b/>
          <w:szCs w:val="36"/>
        </w:rPr>
        <w:t>NOTAS AL ESTADO DE FLUJOS DE EFECTIVO</w:t>
      </w:r>
    </w:p>
    <w:p w14:paraId="30C6B641" w14:textId="54631E3E" w:rsidR="00187B10" w:rsidRPr="005D12C6" w:rsidRDefault="00090BDA" w:rsidP="00090BDA">
      <w:pPr>
        <w:widowControl w:val="0"/>
        <w:kinsoku w:val="0"/>
        <w:spacing w:before="0" w:after="0"/>
        <w:contextualSpacing/>
        <w:rPr>
          <w:rFonts w:eastAsia="Times New Roman" w:cs="Times New Roman"/>
          <w:color w:val="000000"/>
          <w:sz w:val="22"/>
          <w:szCs w:val="22"/>
          <w:lang w:eastAsia="es-MX"/>
        </w:rPr>
      </w:pPr>
      <w:r w:rsidRPr="005D12C6">
        <w:rPr>
          <w:rFonts w:eastAsia="Times New Roman" w:cs="Times New Roman"/>
          <w:color w:val="000000"/>
          <w:sz w:val="22"/>
          <w:szCs w:val="22"/>
          <w:lang w:eastAsia="es-MX"/>
        </w:rPr>
        <w:t xml:space="preserve">1.- </w:t>
      </w:r>
      <w:r w:rsidR="00E110DE" w:rsidRPr="005D12C6">
        <w:rPr>
          <w:rFonts w:eastAsia="Times New Roman" w:cs="Times New Roman"/>
          <w:color w:val="000000"/>
          <w:sz w:val="22"/>
          <w:szCs w:val="22"/>
          <w:lang w:eastAsia="es-MX"/>
        </w:rPr>
        <w:t xml:space="preserve">La integración </w:t>
      </w:r>
      <w:r w:rsidRPr="005D12C6">
        <w:rPr>
          <w:rFonts w:eastAsia="Times New Roman" w:cs="Times New Roman"/>
          <w:color w:val="000000"/>
          <w:sz w:val="22"/>
          <w:szCs w:val="22"/>
          <w:lang w:eastAsia="es-MX"/>
        </w:rPr>
        <w:t xml:space="preserve">de </w:t>
      </w:r>
      <w:r w:rsidR="00326E05" w:rsidRPr="005D12C6">
        <w:rPr>
          <w:rFonts w:eastAsia="Times New Roman" w:cs="Times New Roman"/>
          <w:color w:val="000000"/>
          <w:sz w:val="22"/>
          <w:szCs w:val="22"/>
          <w:lang w:eastAsia="es-MX"/>
        </w:rPr>
        <w:t xml:space="preserve">los saldos inicial y final al </w:t>
      </w:r>
      <w:r w:rsidR="00053575" w:rsidRPr="005D12C6">
        <w:rPr>
          <w:rFonts w:eastAsia="Times New Roman" w:cs="Times New Roman"/>
          <w:color w:val="000000"/>
          <w:sz w:val="22"/>
          <w:szCs w:val="22"/>
          <w:lang w:eastAsia="es-MX"/>
        </w:rPr>
        <w:t>3</w:t>
      </w:r>
      <w:r w:rsidR="004E43B8" w:rsidRPr="005D12C6">
        <w:rPr>
          <w:rFonts w:eastAsia="Times New Roman" w:cs="Times New Roman"/>
          <w:color w:val="000000"/>
          <w:sz w:val="22"/>
          <w:szCs w:val="22"/>
          <w:lang w:eastAsia="es-MX"/>
        </w:rPr>
        <w:t>0</w:t>
      </w:r>
      <w:r w:rsidR="00053575" w:rsidRPr="005D12C6">
        <w:rPr>
          <w:rFonts w:eastAsia="Times New Roman" w:cs="Times New Roman"/>
          <w:color w:val="000000"/>
          <w:sz w:val="22"/>
          <w:szCs w:val="22"/>
          <w:lang w:eastAsia="es-MX"/>
        </w:rPr>
        <w:t xml:space="preserve"> de </w:t>
      </w:r>
      <w:r w:rsidR="009B6FBE" w:rsidRPr="005D12C6">
        <w:rPr>
          <w:rFonts w:eastAsia="Calibri" w:cs="Times New Roman"/>
          <w:sz w:val="22"/>
          <w:szCs w:val="22"/>
        </w:rPr>
        <w:t>junio</w:t>
      </w:r>
      <w:r w:rsidR="00A52941" w:rsidRPr="005D12C6">
        <w:rPr>
          <w:rFonts w:eastAsia="Times New Roman" w:cs="Times New Roman"/>
          <w:color w:val="000000"/>
          <w:sz w:val="22"/>
          <w:szCs w:val="22"/>
          <w:lang w:eastAsia="es-MX"/>
        </w:rPr>
        <w:t xml:space="preserve"> </w:t>
      </w:r>
      <w:r w:rsidRPr="005D12C6">
        <w:rPr>
          <w:rFonts w:eastAsia="Times New Roman" w:cs="Times New Roman"/>
          <w:color w:val="000000"/>
          <w:sz w:val="22"/>
          <w:szCs w:val="22"/>
          <w:lang w:eastAsia="es-MX"/>
        </w:rPr>
        <w:t>de 202</w:t>
      </w:r>
      <w:r w:rsidR="00F75509" w:rsidRPr="005D12C6">
        <w:rPr>
          <w:rFonts w:eastAsia="Times New Roman" w:cs="Times New Roman"/>
          <w:color w:val="000000"/>
          <w:sz w:val="22"/>
          <w:szCs w:val="22"/>
          <w:lang w:eastAsia="es-MX"/>
        </w:rPr>
        <w:t>4</w:t>
      </w:r>
      <w:r w:rsidRPr="005D12C6">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sidRPr="005D12C6">
        <w:rPr>
          <w:rFonts w:eastAsia="Times New Roman" w:cs="Times New Roman"/>
          <w:color w:val="000000"/>
          <w:sz w:val="22"/>
          <w:szCs w:val="22"/>
          <w:lang w:eastAsia="es-MX"/>
        </w:rPr>
        <w:t>la siguiente</w:t>
      </w:r>
      <w:r w:rsidRPr="005D12C6">
        <w:rPr>
          <w:rFonts w:eastAsia="Times New Roman" w:cs="Times New Roman"/>
          <w:color w:val="000000"/>
          <w:sz w:val="22"/>
          <w:szCs w:val="22"/>
          <w:lang w:eastAsia="es-MX"/>
        </w:rPr>
        <w:t>:</w:t>
      </w:r>
    </w:p>
    <w:p w14:paraId="42670609" w14:textId="1838932B" w:rsidR="00090BDA" w:rsidRPr="005D12C6" w:rsidRDefault="00090BDA" w:rsidP="00090BDA">
      <w:pPr>
        <w:widowControl w:val="0"/>
        <w:kinsoku w:val="0"/>
        <w:spacing w:before="0" w:after="0"/>
        <w:contextualSpacing/>
        <w:rPr>
          <w:noProof/>
        </w:rPr>
      </w:pPr>
      <w:r w:rsidRPr="005D12C6">
        <w:rPr>
          <w:rFonts w:eastAsia="Times New Roman" w:cs="Times New Roman"/>
          <w:color w:val="000000"/>
          <w:sz w:val="22"/>
          <w:szCs w:val="22"/>
          <w:lang w:eastAsia="es-MX"/>
        </w:rPr>
        <w:t xml:space="preserve">  </w:t>
      </w:r>
      <w:r w:rsidR="007C73FB" w:rsidRPr="005D12C6">
        <w:rPr>
          <w:noProof/>
          <w:lang w:val="es-MX" w:eastAsia="es-MX"/>
        </w:rPr>
        <w:drawing>
          <wp:inline distT="0" distB="0" distL="0" distR="0" wp14:anchorId="54E13BA7" wp14:editId="3D438B7B">
            <wp:extent cx="6351270" cy="9940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994030"/>
                    </a:xfrm>
                    <a:prstGeom prst="rect">
                      <a:avLst/>
                    </a:prstGeom>
                    <a:noFill/>
                    <a:ln>
                      <a:noFill/>
                    </a:ln>
                  </pic:spPr>
                </pic:pic>
              </a:graphicData>
            </a:graphic>
          </wp:inline>
        </w:drawing>
      </w:r>
    </w:p>
    <w:p w14:paraId="2BD9CDB2" w14:textId="262752BE" w:rsidR="00387CC6" w:rsidRPr="005D12C6" w:rsidRDefault="00387CC6" w:rsidP="00090BDA">
      <w:pPr>
        <w:widowControl w:val="0"/>
        <w:kinsoku w:val="0"/>
        <w:spacing w:before="0" w:after="0"/>
        <w:contextualSpacing/>
        <w:rPr>
          <w:rFonts w:eastAsia="Times New Roman" w:cs="Times New Roman"/>
          <w:color w:val="000000"/>
          <w:sz w:val="22"/>
          <w:szCs w:val="22"/>
          <w:lang w:eastAsia="es-MX"/>
        </w:rPr>
      </w:pPr>
    </w:p>
    <w:p w14:paraId="3AA6C222" w14:textId="77777777" w:rsidR="00971EF4" w:rsidRPr="005D12C6" w:rsidRDefault="00971EF4" w:rsidP="007A6EE1">
      <w:pPr>
        <w:widowControl w:val="0"/>
        <w:kinsoku w:val="0"/>
        <w:spacing w:before="0" w:after="0"/>
        <w:contextualSpacing/>
      </w:pPr>
    </w:p>
    <w:p w14:paraId="2A726560" w14:textId="77777777" w:rsidR="00971EF4" w:rsidRPr="005D12C6" w:rsidRDefault="00971EF4" w:rsidP="007A6EE1">
      <w:pPr>
        <w:widowControl w:val="0"/>
        <w:kinsoku w:val="0"/>
        <w:spacing w:before="0" w:after="0"/>
        <w:contextualSpacing/>
      </w:pPr>
    </w:p>
    <w:p w14:paraId="01A7D13F" w14:textId="77777777" w:rsidR="00971EF4" w:rsidRPr="005D12C6" w:rsidRDefault="00971EF4" w:rsidP="007A6EE1">
      <w:pPr>
        <w:widowControl w:val="0"/>
        <w:kinsoku w:val="0"/>
        <w:spacing w:before="0" w:after="0"/>
        <w:contextualSpacing/>
      </w:pPr>
    </w:p>
    <w:p w14:paraId="79407CE5" w14:textId="77777777" w:rsidR="007A6EE1" w:rsidRPr="005D12C6" w:rsidRDefault="007A6EE1" w:rsidP="007A6EE1">
      <w:pPr>
        <w:widowControl w:val="0"/>
        <w:kinsoku w:val="0"/>
        <w:spacing w:before="0" w:after="0"/>
        <w:contextualSpacing/>
      </w:pPr>
      <w:r w:rsidRPr="005D12C6">
        <w:t xml:space="preserve"> </w:t>
      </w:r>
    </w:p>
    <w:p w14:paraId="738A4C1F" w14:textId="77777777" w:rsidR="008B0827" w:rsidRPr="005D12C6" w:rsidRDefault="008B0827" w:rsidP="007A6EE1">
      <w:pPr>
        <w:widowControl w:val="0"/>
        <w:kinsoku w:val="0"/>
        <w:spacing w:before="0" w:after="0"/>
        <w:contextualSpacing/>
      </w:pPr>
    </w:p>
    <w:p w14:paraId="1B972D89" w14:textId="77777777" w:rsidR="008B0827" w:rsidRPr="005D12C6" w:rsidRDefault="008B0827" w:rsidP="007A6EE1">
      <w:pPr>
        <w:widowControl w:val="0"/>
        <w:kinsoku w:val="0"/>
        <w:spacing w:before="0" w:after="0"/>
        <w:contextualSpacing/>
      </w:pPr>
    </w:p>
    <w:p w14:paraId="1FE7FCC3" w14:textId="613D7494" w:rsidR="00290880" w:rsidRPr="005D12C6" w:rsidRDefault="009627F2" w:rsidP="00CF3F53">
      <w:pPr>
        <w:widowControl w:val="0"/>
        <w:kinsoku w:val="0"/>
        <w:spacing w:before="0" w:after="0"/>
        <w:contextualSpacing/>
        <w:rPr>
          <w:rFonts w:eastAsia="Calibri" w:cs="Times New Roman"/>
          <w:b/>
          <w:szCs w:val="36"/>
        </w:rPr>
      </w:pPr>
      <w:r w:rsidRPr="005D12C6">
        <w:rPr>
          <w:rFonts w:eastAsia="Calibri" w:cs="Times New Roman"/>
          <w:b/>
          <w:szCs w:val="36"/>
        </w:rPr>
        <w:t xml:space="preserve">V) </w:t>
      </w:r>
      <w:r w:rsidR="00C33638" w:rsidRPr="005D12C6">
        <w:rPr>
          <w:rFonts w:eastAsia="Calibri" w:cs="Times New Roman"/>
          <w:b/>
          <w:szCs w:val="36"/>
        </w:rPr>
        <w:t>CONCILIACIÓN ENTRE LOS INGRESOS PRESUPUESTARIOS Y CONTABLES, ASÍ COMO ENTRE LOS EGRESOS PRESUPUESTARIOS Y LOS GASTOS CO</w:t>
      </w:r>
      <w:r w:rsidR="00AC67B5" w:rsidRPr="005D12C6">
        <w:rPr>
          <w:rFonts w:eastAsia="Calibri" w:cs="Times New Roman"/>
          <w:b/>
          <w:szCs w:val="36"/>
        </w:rPr>
        <w:t>N</w:t>
      </w:r>
      <w:r w:rsidR="00C33638" w:rsidRPr="005D12C6">
        <w:rPr>
          <w:rFonts w:eastAsia="Calibri" w:cs="Times New Roman"/>
          <w:b/>
          <w:szCs w:val="36"/>
        </w:rPr>
        <w:t>TABLES</w:t>
      </w:r>
    </w:p>
    <w:p w14:paraId="11D757C8" w14:textId="77777777" w:rsidR="008B0827" w:rsidRPr="005D12C6" w:rsidRDefault="008B0827" w:rsidP="00CF3F53">
      <w:pPr>
        <w:widowControl w:val="0"/>
        <w:kinsoku w:val="0"/>
        <w:spacing w:before="0" w:after="0"/>
        <w:contextualSpacing/>
        <w:rPr>
          <w:rFonts w:eastAsia="Calibri" w:cs="Times New Roman"/>
          <w:b/>
          <w:szCs w:val="36"/>
        </w:rPr>
      </w:pPr>
    </w:p>
    <w:p w14:paraId="0D4F3F0B" w14:textId="77777777" w:rsidR="008B0827" w:rsidRPr="005D12C6" w:rsidRDefault="008B0827" w:rsidP="00CF3F53">
      <w:pPr>
        <w:widowControl w:val="0"/>
        <w:kinsoku w:val="0"/>
        <w:spacing w:before="0" w:after="0"/>
        <w:contextualSpacing/>
        <w:rPr>
          <w:rFonts w:eastAsia="Calibri" w:cs="Times New Roman"/>
          <w:b/>
          <w:szCs w:val="36"/>
        </w:rPr>
      </w:pPr>
    </w:p>
    <w:p w14:paraId="601DFFAD" w14:textId="7CF4F336" w:rsidR="00DE3B4C" w:rsidRPr="005D12C6" w:rsidRDefault="008B0827" w:rsidP="00DE3B4C">
      <w:r w:rsidRPr="005D12C6">
        <w:rPr>
          <w:noProof/>
          <w:lang w:val="es-MX" w:eastAsia="es-MX"/>
        </w:rPr>
        <w:drawing>
          <wp:inline distT="0" distB="0" distL="0" distR="0" wp14:anchorId="16A5A96B" wp14:editId="1A565483">
            <wp:extent cx="6162675" cy="509524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2675" cy="5095240"/>
                    </a:xfrm>
                    <a:prstGeom prst="rect">
                      <a:avLst/>
                    </a:prstGeom>
                    <a:noFill/>
                    <a:ln>
                      <a:noFill/>
                    </a:ln>
                  </pic:spPr>
                </pic:pic>
              </a:graphicData>
            </a:graphic>
          </wp:inline>
        </w:drawing>
      </w:r>
    </w:p>
    <w:p w14:paraId="7F43D510" w14:textId="16192347" w:rsidR="00DE3B4C" w:rsidRPr="005D12C6" w:rsidRDefault="00DE3B4C" w:rsidP="00DE3B4C"/>
    <w:p w14:paraId="522B82B3" w14:textId="77777777" w:rsidR="009A10B9" w:rsidRPr="005D12C6" w:rsidRDefault="009A10B9" w:rsidP="00DE3B4C"/>
    <w:p w14:paraId="6A41FD0B" w14:textId="77777777" w:rsidR="009A10B9" w:rsidRPr="005D12C6" w:rsidRDefault="009A10B9" w:rsidP="00DE3B4C"/>
    <w:p w14:paraId="00957E0B" w14:textId="77777777" w:rsidR="009A10B9" w:rsidRPr="005D12C6" w:rsidRDefault="009A10B9" w:rsidP="00DE3B4C"/>
    <w:p w14:paraId="021126D2" w14:textId="77777777" w:rsidR="009A10B9" w:rsidRPr="005D12C6" w:rsidRDefault="009A10B9" w:rsidP="00DE3B4C"/>
    <w:p w14:paraId="670AE9F4" w14:textId="38BCF6C6" w:rsidR="009A10B9" w:rsidRPr="005D12C6" w:rsidRDefault="009A10B9" w:rsidP="00DE3B4C"/>
    <w:p w14:paraId="28BE2CAA" w14:textId="77777777" w:rsidR="009A10B9" w:rsidRPr="005D12C6" w:rsidRDefault="009A10B9" w:rsidP="00DE3B4C"/>
    <w:p w14:paraId="6168F335" w14:textId="38FC1EB5" w:rsidR="00C10DFE" w:rsidRPr="005D12C6" w:rsidRDefault="009C21F4" w:rsidP="00DE3B4C">
      <w:r w:rsidRPr="005D12C6">
        <w:rPr>
          <w:noProof/>
          <w:lang w:val="es-MX" w:eastAsia="es-MX"/>
        </w:rPr>
        <w:drawing>
          <wp:inline distT="0" distB="0" distL="0" distR="0" wp14:anchorId="01D71374" wp14:editId="410FDBF2">
            <wp:extent cx="6351270" cy="7714367"/>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7714367"/>
                    </a:xfrm>
                    <a:prstGeom prst="rect">
                      <a:avLst/>
                    </a:prstGeom>
                    <a:noFill/>
                    <a:ln>
                      <a:noFill/>
                    </a:ln>
                  </pic:spPr>
                </pic:pic>
              </a:graphicData>
            </a:graphic>
          </wp:inline>
        </w:drawing>
      </w:r>
    </w:p>
    <w:p w14:paraId="4DFD4719" w14:textId="539684E0" w:rsidR="007E1CED" w:rsidRPr="005D12C6" w:rsidRDefault="007E1CED" w:rsidP="00DE3B4C"/>
    <w:p w14:paraId="0D6BBED8" w14:textId="77777777" w:rsidR="002A5285" w:rsidRPr="005D12C6" w:rsidRDefault="002A5285" w:rsidP="00DE3B4C"/>
    <w:p w14:paraId="07249F6D" w14:textId="5C55F4AB" w:rsidR="004A0245" w:rsidRPr="005D12C6" w:rsidRDefault="001D36C8" w:rsidP="004A0245">
      <w:pPr>
        <w:spacing w:before="0" w:after="0"/>
        <w:jc w:val="center"/>
        <w:rPr>
          <w:rFonts w:eastAsia="Calibri" w:cs="Times New Roman"/>
          <w:b/>
          <w:sz w:val="28"/>
          <w:szCs w:val="28"/>
        </w:rPr>
      </w:pPr>
      <w:r w:rsidRPr="005D12C6">
        <w:rPr>
          <w:rFonts w:eastAsia="Calibri" w:cs="Times New Roman"/>
          <w:b/>
          <w:sz w:val="28"/>
          <w:szCs w:val="28"/>
        </w:rPr>
        <w:t>c</w:t>
      </w:r>
      <w:r w:rsidR="00875454" w:rsidRPr="005D12C6">
        <w:rPr>
          <w:rFonts w:eastAsia="Calibri" w:cs="Times New Roman"/>
          <w:b/>
          <w:sz w:val="28"/>
          <w:szCs w:val="28"/>
        </w:rPr>
        <w:t xml:space="preserve">) </w:t>
      </w:r>
      <w:r w:rsidR="004A0245" w:rsidRPr="005D12C6">
        <w:rPr>
          <w:rFonts w:eastAsia="Calibri" w:cs="Times New Roman"/>
          <w:b/>
          <w:sz w:val="28"/>
          <w:szCs w:val="28"/>
        </w:rPr>
        <w:t>NOTAS DE MEMORIA (CUENTAS DE ORDEN)</w:t>
      </w:r>
    </w:p>
    <w:p w14:paraId="03FF5CB6" w14:textId="7608296F" w:rsidR="004A7A74" w:rsidRPr="005D12C6" w:rsidRDefault="004A7A74" w:rsidP="004A0245">
      <w:pPr>
        <w:spacing w:before="0" w:after="0"/>
        <w:jc w:val="left"/>
        <w:rPr>
          <w:rFonts w:eastAsia="Calibri" w:cs="Times New Roman"/>
          <w:bCs/>
          <w:sz w:val="22"/>
          <w:szCs w:val="22"/>
        </w:rPr>
      </w:pPr>
    </w:p>
    <w:p w14:paraId="769458ED" w14:textId="1DDD4846" w:rsidR="004A7A74" w:rsidRPr="005D12C6" w:rsidRDefault="004A7A74" w:rsidP="004A7A74">
      <w:pPr>
        <w:spacing w:before="0" w:after="0"/>
        <w:rPr>
          <w:rFonts w:eastAsia="Calibri" w:cs="Times New Roman"/>
          <w:bCs/>
          <w:sz w:val="22"/>
          <w:szCs w:val="22"/>
        </w:rPr>
      </w:pPr>
      <w:r w:rsidRPr="005D12C6">
        <w:rPr>
          <w:rFonts w:eastAsia="Calibri" w:cs="Times New Roman"/>
          <w:bCs/>
          <w:sz w:val="22"/>
          <w:szCs w:val="22"/>
        </w:rPr>
        <w:t>Se informa de manera agrupada las cuentas de orden contables y cuentas de orden presupuestario, considerando al menos lo siguientes:</w:t>
      </w:r>
    </w:p>
    <w:p w14:paraId="3504F9F8" w14:textId="77777777" w:rsidR="00177377" w:rsidRPr="005D12C6" w:rsidRDefault="00177377" w:rsidP="004A7A74">
      <w:pPr>
        <w:spacing w:before="0" w:after="0"/>
        <w:rPr>
          <w:rFonts w:eastAsia="Calibri" w:cs="Times New Roman"/>
          <w:b/>
          <w:bCs/>
          <w:sz w:val="22"/>
          <w:szCs w:val="22"/>
        </w:rPr>
      </w:pPr>
    </w:p>
    <w:p w14:paraId="34247FBF" w14:textId="44B6D48D" w:rsidR="008830EE" w:rsidRPr="005D12C6" w:rsidRDefault="00177377" w:rsidP="004A7A74">
      <w:pPr>
        <w:spacing w:before="0" w:after="0"/>
        <w:rPr>
          <w:rFonts w:eastAsia="Calibri" w:cs="Times New Roman"/>
          <w:b/>
          <w:bCs/>
          <w:sz w:val="22"/>
          <w:szCs w:val="22"/>
        </w:rPr>
      </w:pPr>
      <w:r w:rsidRPr="005D12C6">
        <w:rPr>
          <w:rFonts w:eastAsia="Calibri" w:cs="Times New Roman"/>
          <w:b/>
          <w:bCs/>
          <w:sz w:val="22"/>
          <w:szCs w:val="22"/>
        </w:rPr>
        <w:t>Cuentas de Orden Contables:</w:t>
      </w:r>
    </w:p>
    <w:p w14:paraId="7745A1C4" w14:textId="557F9BA8" w:rsidR="004A7A74" w:rsidRPr="005D12C6" w:rsidRDefault="004A7A74" w:rsidP="004A7A74">
      <w:pPr>
        <w:spacing w:before="0" w:after="0"/>
        <w:rPr>
          <w:rFonts w:eastAsia="Calibri" w:cs="Times New Roman"/>
          <w:bCs/>
          <w:sz w:val="22"/>
          <w:szCs w:val="22"/>
        </w:rPr>
      </w:pPr>
      <w:r w:rsidRPr="005D12C6">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560E4B8D" w:rsidR="004A7A74" w:rsidRPr="005D12C6" w:rsidRDefault="004A7A74" w:rsidP="004A7A74">
      <w:pPr>
        <w:spacing w:before="0" w:after="0"/>
        <w:rPr>
          <w:rFonts w:eastAsia="Calibri" w:cs="Times New Roman"/>
          <w:bCs/>
          <w:sz w:val="22"/>
          <w:szCs w:val="22"/>
        </w:rPr>
      </w:pPr>
    </w:p>
    <w:p w14:paraId="7173A452" w14:textId="37B22E3F" w:rsidR="004A7A74" w:rsidRPr="005D12C6" w:rsidRDefault="004A7A74" w:rsidP="004A7A74">
      <w:pPr>
        <w:spacing w:before="0" w:after="0"/>
        <w:rPr>
          <w:rFonts w:eastAsia="Calibri" w:cs="Times New Roman"/>
          <w:bCs/>
          <w:sz w:val="22"/>
          <w:szCs w:val="22"/>
        </w:rPr>
      </w:pPr>
      <w:r w:rsidRPr="005D12C6">
        <w:rPr>
          <w:rFonts w:eastAsia="Calibri" w:cs="Times New Roman"/>
          <w:bCs/>
          <w:sz w:val="22"/>
          <w:szCs w:val="22"/>
        </w:rPr>
        <w:t>2.- Por tipo de emisión de instrumento: monto, tasas y vencimiento: No Aplica</w:t>
      </w:r>
    </w:p>
    <w:p w14:paraId="7C73C7BC" w14:textId="2719FD9A" w:rsidR="008830EE" w:rsidRPr="005D12C6" w:rsidRDefault="008830EE" w:rsidP="004A7A74">
      <w:pPr>
        <w:spacing w:before="0" w:after="0"/>
        <w:rPr>
          <w:rFonts w:eastAsia="Calibri" w:cs="Times New Roman"/>
          <w:bCs/>
          <w:sz w:val="22"/>
          <w:szCs w:val="22"/>
        </w:rPr>
      </w:pPr>
    </w:p>
    <w:p w14:paraId="00C27182" w14:textId="56C1197B" w:rsidR="004A7A74" w:rsidRPr="005D12C6" w:rsidRDefault="004A7A74" w:rsidP="004A7A74">
      <w:pPr>
        <w:spacing w:before="0" w:after="0"/>
        <w:rPr>
          <w:rFonts w:eastAsia="Calibri" w:cs="Times New Roman"/>
          <w:bCs/>
          <w:sz w:val="22"/>
          <w:szCs w:val="22"/>
        </w:rPr>
      </w:pPr>
      <w:r w:rsidRPr="005D12C6">
        <w:rPr>
          <w:rFonts w:eastAsia="Calibri" w:cs="Times New Roman"/>
          <w:bCs/>
          <w:sz w:val="22"/>
          <w:szCs w:val="22"/>
        </w:rPr>
        <w:t>3.- Los contratos firmados de construcciones por tipo de contrato: No Aplica</w:t>
      </w:r>
    </w:p>
    <w:p w14:paraId="77AC3302" w14:textId="77777777" w:rsidR="0041652A" w:rsidRPr="005D12C6" w:rsidRDefault="0041652A" w:rsidP="004A7A74">
      <w:pPr>
        <w:spacing w:before="0" w:after="0"/>
        <w:rPr>
          <w:rFonts w:eastAsia="Calibri" w:cs="Times New Roman"/>
          <w:bCs/>
          <w:sz w:val="22"/>
          <w:szCs w:val="22"/>
        </w:rPr>
      </w:pPr>
    </w:p>
    <w:p w14:paraId="242DDD12" w14:textId="232298D4" w:rsidR="0041652A" w:rsidRPr="005D12C6" w:rsidRDefault="00177377" w:rsidP="004A7A74">
      <w:pPr>
        <w:spacing w:before="0" w:after="0"/>
        <w:rPr>
          <w:rFonts w:eastAsia="Calibri" w:cs="Times New Roman"/>
          <w:bCs/>
          <w:sz w:val="22"/>
          <w:szCs w:val="22"/>
        </w:rPr>
      </w:pPr>
      <w:r w:rsidRPr="005D12C6">
        <w:rPr>
          <w:rFonts w:eastAsia="Calibri" w:cs="Times New Roman"/>
          <w:bCs/>
          <w:sz w:val="22"/>
          <w:szCs w:val="22"/>
        </w:rPr>
        <w:t>Cuentas de Orden Presupuestario</w:t>
      </w:r>
    </w:p>
    <w:p w14:paraId="6022EF35" w14:textId="77777777" w:rsidR="00177377" w:rsidRPr="005D12C6" w:rsidRDefault="00177377" w:rsidP="004A7A74">
      <w:pPr>
        <w:spacing w:before="0" w:after="0"/>
        <w:rPr>
          <w:rFonts w:eastAsia="Calibri" w:cs="Times New Roman"/>
          <w:bCs/>
          <w:sz w:val="22"/>
          <w:szCs w:val="22"/>
        </w:rPr>
      </w:pPr>
    </w:p>
    <w:p w14:paraId="014DB7D7" w14:textId="3E4BC652" w:rsidR="00177377" w:rsidRPr="005D12C6" w:rsidRDefault="00177377" w:rsidP="004A7A74">
      <w:pPr>
        <w:spacing w:before="0" w:after="0"/>
        <w:rPr>
          <w:rFonts w:eastAsia="Calibri" w:cs="Times New Roman"/>
          <w:bCs/>
          <w:sz w:val="22"/>
          <w:szCs w:val="22"/>
        </w:rPr>
      </w:pPr>
      <w:r w:rsidRPr="005D12C6">
        <w:rPr>
          <w:rFonts w:eastAsia="Calibri" w:cs="Times New Roman"/>
          <w:bCs/>
          <w:sz w:val="22"/>
          <w:szCs w:val="22"/>
        </w:rPr>
        <w:tab/>
        <w:t>Cuentas de ingresos</w:t>
      </w:r>
    </w:p>
    <w:p w14:paraId="50562585" w14:textId="77777777" w:rsidR="00177377" w:rsidRPr="005D12C6" w:rsidRDefault="00177377" w:rsidP="004A7A74">
      <w:pPr>
        <w:spacing w:before="0" w:after="0"/>
        <w:rPr>
          <w:rFonts w:eastAsia="Calibri" w:cs="Times New Roman"/>
          <w:bCs/>
          <w:sz w:val="22"/>
          <w:szCs w:val="22"/>
        </w:rPr>
      </w:pPr>
      <w:r w:rsidRPr="005D12C6">
        <w:rPr>
          <w:rFonts w:eastAsia="Calibri" w:cs="Times New Roman"/>
          <w:bCs/>
          <w:sz w:val="22"/>
          <w:szCs w:val="22"/>
        </w:rPr>
        <w:tab/>
        <w:t>Cuentas de egresos</w:t>
      </w:r>
    </w:p>
    <w:p w14:paraId="18C88855" w14:textId="77777777" w:rsidR="00177377" w:rsidRPr="005D12C6" w:rsidRDefault="00177377" w:rsidP="004A7A74">
      <w:pPr>
        <w:spacing w:before="0" w:after="0"/>
        <w:rPr>
          <w:rFonts w:eastAsia="Calibri" w:cs="Times New Roman"/>
          <w:bCs/>
          <w:sz w:val="22"/>
          <w:szCs w:val="22"/>
        </w:rPr>
      </w:pPr>
    </w:p>
    <w:p w14:paraId="39D7FC47" w14:textId="77777777" w:rsidR="00A34AFE" w:rsidRPr="005D12C6" w:rsidRDefault="00A34AFE" w:rsidP="004A7A74">
      <w:pPr>
        <w:spacing w:before="0" w:after="0"/>
        <w:rPr>
          <w:rFonts w:eastAsia="Calibri" w:cs="Times New Roman"/>
          <w:bCs/>
          <w:sz w:val="22"/>
          <w:szCs w:val="22"/>
        </w:rPr>
      </w:pPr>
    </w:p>
    <w:p w14:paraId="60E48CED" w14:textId="77777777" w:rsidR="00D31490" w:rsidRPr="005D12C6" w:rsidRDefault="00D31490" w:rsidP="004A7A74">
      <w:pPr>
        <w:spacing w:before="0" w:after="0"/>
        <w:rPr>
          <w:rFonts w:eastAsia="Calibri" w:cs="Times New Roman"/>
          <w:bCs/>
          <w:sz w:val="22"/>
          <w:szCs w:val="22"/>
        </w:rPr>
      </w:pPr>
    </w:p>
    <w:p w14:paraId="6569FF45" w14:textId="741AC318" w:rsidR="0041652A" w:rsidRPr="005D12C6" w:rsidRDefault="0041652A" w:rsidP="0041652A">
      <w:pPr>
        <w:spacing w:before="0" w:after="0" w:line="276" w:lineRule="auto"/>
        <w:jc w:val="center"/>
        <w:rPr>
          <w:rFonts w:eastAsia="Calibri" w:cs="Times New Roman"/>
          <w:bCs/>
          <w:sz w:val="22"/>
          <w:szCs w:val="22"/>
        </w:rPr>
      </w:pPr>
      <w:r w:rsidRPr="005D12C6">
        <w:rPr>
          <w:rFonts w:eastAsia="Calibri" w:cs="Times New Roman"/>
          <w:bCs/>
          <w:sz w:val="22"/>
          <w:szCs w:val="22"/>
        </w:rPr>
        <w:t>______________________________</w:t>
      </w:r>
    </w:p>
    <w:p w14:paraId="2BF84E04" w14:textId="4E7BE649" w:rsidR="0041652A" w:rsidRPr="005D12C6" w:rsidRDefault="0041652A" w:rsidP="0041652A">
      <w:pPr>
        <w:spacing w:line="276" w:lineRule="auto"/>
        <w:jc w:val="center"/>
        <w:rPr>
          <w:rFonts w:eastAsia="Calibri" w:cs="Times New Roman"/>
          <w:bCs/>
          <w:sz w:val="22"/>
          <w:szCs w:val="22"/>
        </w:rPr>
      </w:pPr>
      <w:r w:rsidRPr="005D12C6">
        <w:rPr>
          <w:rFonts w:eastAsia="Calibri" w:cs="Times New Roman"/>
          <w:bCs/>
          <w:sz w:val="22"/>
          <w:szCs w:val="22"/>
        </w:rPr>
        <w:t>DR. GUSTAVO OBLEA ROSALES</w:t>
      </w:r>
    </w:p>
    <w:p w14:paraId="6FD5C9D0" w14:textId="77777777" w:rsidR="0041652A" w:rsidRPr="005D12C6" w:rsidRDefault="0041652A" w:rsidP="0041652A">
      <w:pPr>
        <w:spacing w:line="276" w:lineRule="auto"/>
        <w:jc w:val="center"/>
        <w:rPr>
          <w:rFonts w:eastAsia="Calibri" w:cs="Times New Roman"/>
          <w:bCs/>
          <w:sz w:val="22"/>
          <w:szCs w:val="22"/>
        </w:rPr>
      </w:pPr>
      <w:r w:rsidRPr="005D12C6">
        <w:rPr>
          <w:rFonts w:eastAsia="Calibri" w:cs="Times New Roman"/>
          <w:bCs/>
          <w:sz w:val="22"/>
          <w:szCs w:val="22"/>
        </w:rPr>
        <w:t>DIRECTOR DE CONTABILIDAD GUBERNAMENTAL</w:t>
      </w:r>
    </w:p>
    <w:p w14:paraId="2E72F1E1" w14:textId="77777777" w:rsidR="0041652A" w:rsidRPr="005D12C6" w:rsidRDefault="0041652A" w:rsidP="0041652A">
      <w:pPr>
        <w:jc w:val="center"/>
        <w:rPr>
          <w:rFonts w:eastAsia="Calibri" w:cs="Times New Roman"/>
          <w:bCs/>
        </w:rPr>
      </w:pPr>
    </w:p>
    <w:p w14:paraId="492A77AF" w14:textId="77777777" w:rsidR="0041652A" w:rsidRPr="005D12C6" w:rsidRDefault="0041652A" w:rsidP="0041652A">
      <w:pPr>
        <w:jc w:val="center"/>
        <w:rPr>
          <w:rFonts w:eastAsia="Calibri" w:cs="Times New Roman"/>
          <w:bCs/>
        </w:rPr>
      </w:pPr>
    </w:p>
    <w:p w14:paraId="7D3E58AD" w14:textId="77777777" w:rsidR="0041652A" w:rsidRPr="005D12C6" w:rsidRDefault="0041652A" w:rsidP="0041652A">
      <w:pPr>
        <w:jc w:val="center"/>
        <w:rPr>
          <w:rFonts w:eastAsia="Calibri" w:cs="Times New Roman"/>
          <w:bCs/>
        </w:rPr>
      </w:pPr>
    </w:p>
    <w:p w14:paraId="5BDCD876" w14:textId="77777777" w:rsidR="0041652A" w:rsidRPr="005D12C6" w:rsidRDefault="0041652A" w:rsidP="0041652A">
      <w:pPr>
        <w:jc w:val="center"/>
        <w:rPr>
          <w:rFonts w:eastAsia="Calibri" w:cs="Times New Roman"/>
          <w:bCs/>
        </w:rPr>
      </w:pPr>
    </w:p>
    <w:p w14:paraId="64CCACAA" w14:textId="3E2350CA" w:rsidR="00A032DC" w:rsidRPr="005D12C6" w:rsidRDefault="00A032DC" w:rsidP="004A0245">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C3025E" w:rsidRPr="005D12C6" w14:paraId="348E6717" w14:textId="77777777" w:rsidTr="00C3025E">
        <w:tc>
          <w:tcPr>
            <w:tcW w:w="9992" w:type="dxa"/>
          </w:tcPr>
          <w:p w14:paraId="28287E9F" w14:textId="4D80BDF3" w:rsidR="00C3025E" w:rsidRPr="005D12C6" w:rsidRDefault="00C3025E" w:rsidP="0041652A">
            <w:pPr>
              <w:jc w:val="center"/>
              <w:rPr>
                <w:rFonts w:eastAsia="Calibri" w:cs="Times New Roman"/>
                <w:bCs/>
              </w:rPr>
            </w:pPr>
            <w:r w:rsidRPr="005D12C6">
              <w:t>“</w:t>
            </w:r>
            <w:r w:rsidRPr="005D12C6">
              <w:rPr>
                <w:rFonts w:ascii="GalanoGrotesque-Light" w:eastAsia="Calibri" w:hAnsi="GalanoGrotesque-Light" w:cs="Times New Roman"/>
                <w:bCs/>
                <w:lang w:val="es-ES"/>
              </w:rPr>
              <w:t>Bajo protesta de decir verdad declar</w:t>
            </w:r>
            <w:r w:rsidR="0041652A" w:rsidRPr="005D12C6">
              <w:rPr>
                <w:rFonts w:ascii="GalanoGrotesque-Light" w:eastAsia="Calibri" w:hAnsi="GalanoGrotesque-Light" w:cs="Times New Roman"/>
                <w:bCs/>
                <w:lang w:val="es-ES"/>
              </w:rPr>
              <w:t>o</w:t>
            </w:r>
            <w:r w:rsidRPr="005D12C6">
              <w:rPr>
                <w:rFonts w:ascii="GalanoGrotesque-Light" w:eastAsia="Calibri" w:hAnsi="GalanoGrotesque-Light" w:cs="Times New Roman"/>
                <w:bCs/>
                <w:lang w:val="es-ES"/>
              </w:rPr>
              <w:t xml:space="preserve"> que los Estados Financieros y sus notas, son razonablemente correctos y son responsabilidad del emisor”</w:t>
            </w:r>
          </w:p>
        </w:tc>
      </w:tr>
    </w:tbl>
    <w:p w14:paraId="0CB71AED" w14:textId="77777777" w:rsidR="005440BE" w:rsidRPr="003A6DE7" w:rsidRDefault="005440BE" w:rsidP="00033377">
      <w:pPr>
        <w:spacing w:before="100" w:beforeAutospacing="1" w:after="100" w:afterAutospacing="1" w:line="240" w:lineRule="auto"/>
        <w:jc w:val="left"/>
        <w:rPr>
          <w:color w:val="864A04" w:themeColor="accent2" w:themeShade="80"/>
          <w:u w:val="single"/>
        </w:rPr>
      </w:pPr>
      <w:bookmarkStart w:id="4" w:name="_GoBack"/>
      <w:bookmarkEnd w:id="4"/>
    </w:p>
    <w:sectPr w:rsidR="005440BE" w:rsidRPr="003A6DE7" w:rsidSect="00774433">
      <w:headerReference w:type="even" r:id="rId54"/>
      <w:headerReference w:type="default" r:id="rId55"/>
      <w:footerReference w:type="default" r:id="rId56"/>
      <w:headerReference w:type="first" r:id="rId57"/>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B6859" w14:textId="77777777" w:rsidR="00E20ECD" w:rsidRDefault="00E20ECD" w:rsidP="006A5067">
      <w:pPr>
        <w:spacing w:before="0" w:after="0" w:line="240" w:lineRule="auto"/>
      </w:pPr>
      <w:r>
        <w:separator/>
      </w:r>
    </w:p>
  </w:endnote>
  <w:endnote w:type="continuationSeparator" w:id="0">
    <w:p w14:paraId="4E3C3B50" w14:textId="77777777" w:rsidR="00E20ECD" w:rsidRDefault="00E20ECD"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3BB54978" w:rsidR="00B609F0" w:rsidRDefault="00B609F0">
        <w:pPr>
          <w:pStyle w:val="Piedepgina"/>
          <w:jc w:val="center"/>
        </w:pPr>
        <w:r>
          <w:fldChar w:fldCharType="begin"/>
        </w:r>
        <w:r>
          <w:instrText>PAGE   \* MERGEFORMAT</w:instrText>
        </w:r>
        <w:r>
          <w:fldChar w:fldCharType="separate"/>
        </w:r>
        <w:r w:rsidR="00033377">
          <w:rPr>
            <w:noProof/>
          </w:rPr>
          <w:t>57</w:t>
        </w:r>
        <w:r>
          <w:fldChar w:fldCharType="end"/>
        </w:r>
      </w:p>
      <w:p w14:paraId="52C352FB" w14:textId="0AF2FEA9" w:rsidR="00B609F0" w:rsidRDefault="00B609F0">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B609F0" w:rsidRDefault="00B609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A23D3" w14:textId="77777777" w:rsidR="00E20ECD" w:rsidRDefault="00E20ECD" w:rsidP="006A5067">
      <w:pPr>
        <w:spacing w:before="0" w:after="0" w:line="240" w:lineRule="auto"/>
      </w:pPr>
      <w:bookmarkStart w:id="0" w:name="_Hlk71019289"/>
      <w:bookmarkEnd w:id="0"/>
      <w:r>
        <w:separator/>
      </w:r>
    </w:p>
  </w:footnote>
  <w:footnote w:type="continuationSeparator" w:id="0">
    <w:p w14:paraId="28028D60" w14:textId="77777777" w:rsidR="00E20ECD" w:rsidRDefault="00E20ECD"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B609F0" w:rsidRDefault="00E20ECD">
    <w:pPr>
      <w:pStyle w:val="Encabezado"/>
    </w:pPr>
    <w:r>
      <w:rPr>
        <w:noProof/>
      </w:rPr>
      <w:pict w14:anchorId="706DE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1" type="#_x0000_t75" alt="" style="position:absolute;left:0;text-align:left;margin-left:0;margin-top:0;width:612.15pt;height:792.2pt;z-index:-251657216;mso-wrap-edited:f;mso-width-percent:0;mso-height-percent:0;mso-position-horizontal:center;mso-position-horizontal-relative:margin;mso-position-vertical:center;mso-position-vertical-relative:margin;mso-width-percent:0;mso-height-percent:0"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1F17D880" w:rsidR="00B609F0" w:rsidRDefault="00E20ECD">
    <w:pPr>
      <w:pStyle w:val="Encabezado"/>
    </w:pPr>
    <w:r>
      <w:rPr>
        <w:noProof/>
      </w:rPr>
      <w:pict w14:anchorId="4015C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0" type="#_x0000_t75" alt="" style="position:absolute;left:0;text-align:left;margin-left:-56pt;margin-top:-60.05pt;width:612.15pt;height:792.2pt;z-index:-251657729;mso-wrap-edited:f;mso-width-percent:0;mso-height-percent:0;mso-position-horizontal-relative:margin;mso-position-vertical-relative:margin;mso-width-percent:0;mso-height-percent:0" o:allowincell="f">
          <v:imagedata r:id="rId1" o:title="informe_Mesa de trabajo 1 copia 3"/>
          <w10:wrap anchorx="margin" anchory="margin"/>
        </v:shape>
      </w:pict>
    </w:r>
    <w:r w:rsidR="00B609F0">
      <w:rPr>
        <w:noProof/>
        <w:lang w:val="es-MX" w:eastAsia="es-MX"/>
      </w:rPr>
      <w:drawing>
        <wp:anchor distT="0" distB="0" distL="114300" distR="114300" simplePos="0" relativeHeight="251663360" behindDoc="1" locked="0" layoutInCell="1" allowOverlap="1" wp14:anchorId="6981C5CB" wp14:editId="67CA7F38">
          <wp:simplePos x="0" y="0"/>
          <wp:positionH relativeFrom="margin">
            <wp:posOffset>-360045</wp:posOffset>
          </wp:positionH>
          <wp:positionV relativeFrom="paragraph">
            <wp:posOffset>3175</wp:posOffset>
          </wp:positionV>
          <wp:extent cx="7232650" cy="530225"/>
          <wp:effectExtent l="0" t="0" r="6350" b="3175"/>
          <wp:wrapNone/>
          <wp:docPr id="329775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0" cy="53022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B609F0" w:rsidRDefault="00E20ECD">
    <w:pPr>
      <w:pStyle w:val="Encabezado"/>
    </w:pPr>
    <w:r>
      <w:rPr>
        <w:noProof/>
      </w:rPr>
      <w:pict w14:anchorId="6D7F0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49" type="#_x0000_t75" alt="" style="position:absolute;left:0;text-align:left;margin-left:0;margin-top:0;width:612.15pt;height:792.2pt;z-index:-251658240;mso-wrap-edited:f;mso-width-percent:0;mso-height-percent:0;mso-position-horizontal:center;mso-position-horizontal-relative:margin;mso-position-vertical:center;mso-position-vertical-relative:margin;mso-width-percent:0;mso-height-percent:0"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2C5185"/>
    <w:multiLevelType w:val="hybridMultilevel"/>
    <w:tmpl w:val="946A15F0"/>
    <w:lvl w:ilvl="0" w:tplc="DED2B9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1D113F"/>
    <w:multiLevelType w:val="hybridMultilevel"/>
    <w:tmpl w:val="A5DC7AA8"/>
    <w:lvl w:ilvl="0" w:tplc="289A25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4C1EB6"/>
    <w:multiLevelType w:val="hybridMultilevel"/>
    <w:tmpl w:val="C5980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A313EF"/>
    <w:multiLevelType w:val="hybridMultilevel"/>
    <w:tmpl w:val="A126AF02"/>
    <w:lvl w:ilvl="0" w:tplc="8D6035F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3"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4"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8"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B85A2B"/>
    <w:multiLevelType w:val="hybridMultilevel"/>
    <w:tmpl w:val="BA2CB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0B4058"/>
    <w:multiLevelType w:val="hybridMultilevel"/>
    <w:tmpl w:val="2C1A3E5A"/>
    <w:lvl w:ilvl="0" w:tplc="80641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53E0E7F"/>
    <w:multiLevelType w:val="hybridMultilevel"/>
    <w:tmpl w:val="9DDEE0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6"/>
  </w:num>
  <w:num w:numId="3">
    <w:abstractNumId w:val="13"/>
  </w:num>
  <w:num w:numId="4">
    <w:abstractNumId w:val="22"/>
  </w:num>
  <w:num w:numId="5">
    <w:abstractNumId w:val="20"/>
  </w:num>
  <w:num w:numId="6">
    <w:abstractNumId w:val="18"/>
  </w:num>
  <w:num w:numId="7">
    <w:abstractNumId w:val="12"/>
  </w:num>
  <w:num w:numId="8">
    <w:abstractNumId w:val="1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1"/>
  </w:num>
  <w:num w:numId="17">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1"/>
  </w:num>
  <w:num w:numId="23">
    <w:abstractNumId w:val="2"/>
  </w:num>
  <w:num w:numId="24">
    <w:abstractNumId w:val="19"/>
  </w:num>
  <w:num w:numId="25">
    <w:abstractNumId w:val="8"/>
  </w:num>
  <w:num w:numId="26">
    <w:abstractNumId w:val="9"/>
  </w:num>
  <w:num w:numId="27">
    <w:abstractNumId w:val="26"/>
  </w:num>
  <w:num w:numId="28">
    <w:abstractNumId w:val="6"/>
  </w:num>
  <w:num w:numId="29">
    <w:abstractNumId w:val="0"/>
  </w:num>
  <w:num w:numId="30">
    <w:abstractNumId w:val="24"/>
  </w:num>
  <w:num w:numId="31">
    <w:abstractNumId w:val="15"/>
  </w:num>
  <w:num w:numId="3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877"/>
    <w:rsid w:val="0000295A"/>
    <w:rsid w:val="00002B97"/>
    <w:rsid w:val="00002D2B"/>
    <w:rsid w:val="00002E3C"/>
    <w:rsid w:val="00002F02"/>
    <w:rsid w:val="00003150"/>
    <w:rsid w:val="000033B5"/>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0CCF"/>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C43"/>
    <w:rsid w:val="00024E79"/>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377"/>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B61"/>
    <w:rsid w:val="00050A2F"/>
    <w:rsid w:val="000513E6"/>
    <w:rsid w:val="00051ADB"/>
    <w:rsid w:val="00052167"/>
    <w:rsid w:val="00052291"/>
    <w:rsid w:val="000523EC"/>
    <w:rsid w:val="000524BD"/>
    <w:rsid w:val="000524C7"/>
    <w:rsid w:val="00052929"/>
    <w:rsid w:val="00052C7A"/>
    <w:rsid w:val="00053575"/>
    <w:rsid w:val="000537A5"/>
    <w:rsid w:val="0005381D"/>
    <w:rsid w:val="00053D28"/>
    <w:rsid w:val="00053F11"/>
    <w:rsid w:val="000541BF"/>
    <w:rsid w:val="0005430D"/>
    <w:rsid w:val="0005448E"/>
    <w:rsid w:val="00054492"/>
    <w:rsid w:val="0005479C"/>
    <w:rsid w:val="00054999"/>
    <w:rsid w:val="00054F35"/>
    <w:rsid w:val="00055CD3"/>
    <w:rsid w:val="00055F47"/>
    <w:rsid w:val="0005617C"/>
    <w:rsid w:val="000561FC"/>
    <w:rsid w:val="0005693D"/>
    <w:rsid w:val="00056C4D"/>
    <w:rsid w:val="00056D21"/>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BE1"/>
    <w:rsid w:val="00062C36"/>
    <w:rsid w:val="00063972"/>
    <w:rsid w:val="00063BE9"/>
    <w:rsid w:val="00064BA1"/>
    <w:rsid w:val="00064F15"/>
    <w:rsid w:val="00064F91"/>
    <w:rsid w:val="000651A0"/>
    <w:rsid w:val="00065383"/>
    <w:rsid w:val="00065A97"/>
    <w:rsid w:val="00065AAB"/>
    <w:rsid w:val="00065B67"/>
    <w:rsid w:val="00065CC6"/>
    <w:rsid w:val="00065D97"/>
    <w:rsid w:val="00066479"/>
    <w:rsid w:val="000669D5"/>
    <w:rsid w:val="000674F4"/>
    <w:rsid w:val="00067A31"/>
    <w:rsid w:val="0007008B"/>
    <w:rsid w:val="000706B8"/>
    <w:rsid w:val="00070DB1"/>
    <w:rsid w:val="00071170"/>
    <w:rsid w:val="000714BC"/>
    <w:rsid w:val="00071620"/>
    <w:rsid w:val="000718B5"/>
    <w:rsid w:val="0007194A"/>
    <w:rsid w:val="00071AFA"/>
    <w:rsid w:val="00071C7D"/>
    <w:rsid w:val="00071E67"/>
    <w:rsid w:val="0007278D"/>
    <w:rsid w:val="00072B36"/>
    <w:rsid w:val="00072C3D"/>
    <w:rsid w:val="00072C97"/>
    <w:rsid w:val="00072CA6"/>
    <w:rsid w:val="00072F50"/>
    <w:rsid w:val="000730C3"/>
    <w:rsid w:val="00073657"/>
    <w:rsid w:val="000736C6"/>
    <w:rsid w:val="00073D54"/>
    <w:rsid w:val="00073D87"/>
    <w:rsid w:val="0007415C"/>
    <w:rsid w:val="00075235"/>
    <w:rsid w:val="00075744"/>
    <w:rsid w:val="00075769"/>
    <w:rsid w:val="00075C62"/>
    <w:rsid w:val="00075CF0"/>
    <w:rsid w:val="00075D38"/>
    <w:rsid w:val="00075E98"/>
    <w:rsid w:val="00075FCD"/>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FD2"/>
    <w:rsid w:val="00086873"/>
    <w:rsid w:val="00086C8D"/>
    <w:rsid w:val="00086FE8"/>
    <w:rsid w:val="00087647"/>
    <w:rsid w:val="0008796F"/>
    <w:rsid w:val="000879D9"/>
    <w:rsid w:val="00087AB1"/>
    <w:rsid w:val="00087E9C"/>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C5C"/>
    <w:rsid w:val="00097081"/>
    <w:rsid w:val="000A09FC"/>
    <w:rsid w:val="000A0BAF"/>
    <w:rsid w:val="000A1123"/>
    <w:rsid w:val="000A14E5"/>
    <w:rsid w:val="000A1868"/>
    <w:rsid w:val="000A1A9D"/>
    <w:rsid w:val="000A1E23"/>
    <w:rsid w:val="000A238C"/>
    <w:rsid w:val="000A24D1"/>
    <w:rsid w:val="000A2598"/>
    <w:rsid w:val="000A2D5A"/>
    <w:rsid w:val="000A2E27"/>
    <w:rsid w:val="000A322E"/>
    <w:rsid w:val="000A3541"/>
    <w:rsid w:val="000A37C4"/>
    <w:rsid w:val="000A3B87"/>
    <w:rsid w:val="000A3FC5"/>
    <w:rsid w:val="000A405F"/>
    <w:rsid w:val="000A450A"/>
    <w:rsid w:val="000A470F"/>
    <w:rsid w:val="000A4AC3"/>
    <w:rsid w:val="000A509B"/>
    <w:rsid w:val="000A52D7"/>
    <w:rsid w:val="000A5780"/>
    <w:rsid w:val="000A57AB"/>
    <w:rsid w:val="000A581C"/>
    <w:rsid w:val="000A59BF"/>
    <w:rsid w:val="000A63F5"/>
    <w:rsid w:val="000A661F"/>
    <w:rsid w:val="000A66DF"/>
    <w:rsid w:val="000A6AEC"/>
    <w:rsid w:val="000A6C76"/>
    <w:rsid w:val="000A7094"/>
    <w:rsid w:val="000A7128"/>
    <w:rsid w:val="000B0B60"/>
    <w:rsid w:val="000B0BD2"/>
    <w:rsid w:val="000B18BD"/>
    <w:rsid w:val="000B1995"/>
    <w:rsid w:val="000B1B9D"/>
    <w:rsid w:val="000B1BE5"/>
    <w:rsid w:val="000B25C6"/>
    <w:rsid w:val="000B2832"/>
    <w:rsid w:val="000B2DC3"/>
    <w:rsid w:val="000B37E2"/>
    <w:rsid w:val="000B3CE1"/>
    <w:rsid w:val="000B3CEA"/>
    <w:rsid w:val="000B3D63"/>
    <w:rsid w:val="000B415A"/>
    <w:rsid w:val="000B47CE"/>
    <w:rsid w:val="000B4852"/>
    <w:rsid w:val="000B499E"/>
    <w:rsid w:val="000B4DA3"/>
    <w:rsid w:val="000B51F5"/>
    <w:rsid w:val="000B5408"/>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0B8C"/>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2126"/>
    <w:rsid w:val="000E2331"/>
    <w:rsid w:val="000E2352"/>
    <w:rsid w:val="000E23AD"/>
    <w:rsid w:val="000E2C53"/>
    <w:rsid w:val="000E2C72"/>
    <w:rsid w:val="000E2D17"/>
    <w:rsid w:val="000E3246"/>
    <w:rsid w:val="000E3B20"/>
    <w:rsid w:val="000E4152"/>
    <w:rsid w:val="000E44AC"/>
    <w:rsid w:val="000E451A"/>
    <w:rsid w:val="000E45A2"/>
    <w:rsid w:val="000E5069"/>
    <w:rsid w:val="000E558E"/>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1FB"/>
    <w:rsid w:val="000F3445"/>
    <w:rsid w:val="000F34D1"/>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EB1"/>
    <w:rsid w:val="001014BF"/>
    <w:rsid w:val="00101B20"/>
    <w:rsid w:val="0010219F"/>
    <w:rsid w:val="0010232D"/>
    <w:rsid w:val="001023A5"/>
    <w:rsid w:val="00102ABF"/>
    <w:rsid w:val="00102DAC"/>
    <w:rsid w:val="00102DD3"/>
    <w:rsid w:val="00102E0B"/>
    <w:rsid w:val="001032C6"/>
    <w:rsid w:val="00103735"/>
    <w:rsid w:val="00103890"/>
    <w:rsid w:val="00103921"/>
    <w:rsid w:val="00103A24"/>
    <w:rsid w:val="001043A2"/>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18C5"/>
    <w:rsid w:val="00111BF4"/>
    <w:rsid w:val="00111CC1"/>
    <w:rsid w:val="00111F9D"/>
    <w:rsid w:val="00112187"/>
    <w:rsid w:val="00112764"/>
    <w:rsid w:val="00112D3C"/>
    <w:rsid w:val="00113460"/>
    <w:rsid w:val="001134F9"/>
    <w:rsid w:val="00113C55"/>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68D"/>
    <w:rsid w:val="001166BE"/>
    <w:rsid w:val="00116D9C"/>
    <w:rsid w:val="00117060"/>
    <w:rsid w:val="00117210"/>
    <w:rsid w:val="001173FB"/>
    <w:rsid w:val="001205F4"/>
    <w:rsid w:val="00120F97"/>
    <w:rsid w:val="0012140B"/>
    <w:rsid w:val="001217D6"/>
    <w:rsid w:val="00121C07"/>
    <w:rsid w:val="00121EF0"/>
    <w:rsid w:val="001224E3"/>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071F"/>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B86"/>
    <w:rsid w:val="00136CA3"/>
    <w:rsid w:val="001370A2"/>
    <w:rsid w:val="001374F3"/>
    <w:rsid w:val="001375FD"/>
    <w:rsid w:val="001400FC"/>
    <w:rsid w:val="001402C1"/>
    <w:rsid w:val="0014051F"/>
    <w:rsid w:val="001408DE"/>
    <w:rsid w:val="00140B53"/>
    <w:rsid w:val="00140D3C"/>
    <w:rsid w:val="00141B8F"/>
    <w:rsid w:val="00141BDE"/>
    <w:rsid w:val="00141E14"/>
    <w:rsid w:val="00141E56"/>
    <w:rsid w:val="00141F2D"/>
    <w:rsid w:val="001425AF"/>
    <w:rsid w:val="00142B91"/>
    <w:rsid w:val="00142DCA"/>
    <w:rsid w:val="0014403A"/>
    <w:rsid w:val="00145168"/>
    <w:rsid w:val="00145441"/>
    <w:rsid w:val="00145BAE"/>
    <w:rsid w:val="00145ECB"/>
    <w:rsid w:val="00145F8F"/>
    <w:rsid w:val="0014671A"/>
    <w:rsid w:val="00146796"/>
    <w:rsid w:val="00146AAB"/>
    <w:rsid w:val="00146DE9"/>
    <w:rsid w:val="00147029"/>
    <w:rsid w:val="001471DC"/>
    <w:rsid w:val="00147765"/>
    <w:rsid w:val="001477BB"/>
    <w:rsid w:val="001478B7"/>
    <w:rsid w:val="0014792D"/>
    <w:rsid w:val="001479C0"/>
    <w:rsid w:val="00147D72"/>
    <w:rsid w:val="00147FC6"/>
    <w:rsid w:val="0015064F"/>
    <w:rsid w:val="00150969"/>
    <w:rsid w:val="00150AD7"/>
    <w:rsid w:val="001511BF"/>
    <w:rsid w:val="00151814"/>
    <w:rsid w:val="001521FD"/>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727"/>
    <w:rsid w:val="00160818"/>
    <w:rsid w:val="00160915"/>
    <w:rsid w:val="001612A8"/>
    <w:rsid w:val="0016141C"/>
    <w:rsid w:val="00161BB6"/>
    <w:rsid w:val="001626C6"/>
    <w:rsid w:val="00162ECD"/>
    <w:rsid w:val="001631AE"/>
    <w:rsid w:val="001633C2"/>
    <w:rsid w:val="001634EA"/>
    <w:rsid w:val="00163892"/>
    <w:rsid w:val="001639DA"/>
    <w:rsid w:val="001644D4"/>
    <w:rsid w:val="0016457E"/>
    <w:rsid w:val="00164844"/>
    <w:rsid w:val="0016489F"/>
    <w:rsid w:val="001654E1"/>
    <w:rsid w:val="001654F3"/>
    <w:rsid w:val="001655B3"/>
    <w:rsid w:val="0016596C"/>
    <w:rsid w:val="00165C6C"/>
    <w:rsid w:val="00165E17"/>
    <w:rsid w:val="00166019"/>
    <w:rsid w:val="0016641A"/>
    <w:rsid w:val="001664F7"/>
    <w:rsid w:val="00166825"/>
    <w:rsid w:val="00166A51"/>
    <w:rsid w:val="00166C9B"/>
    <w:rsid w:val="00167771"/>
    <w:rsid w:val="0016798C"/>
    <w:rsid w:val="00167CB4"/>
    <w:rsid w:val="00170639"/>
    <w:rsid w:val="00170EF5"/>
    <w:rsid w:val="00171840"/>
    <w:rsid w:val="001721E8"/>
    <w:rsid w:val="001722EE"/>
    <w:rsid w:val="0017243C"/>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377"/>
    <w:rsid w:val="00177468"/>
    <w:rsid w:val="00177832"/>
    <w:rsid w:val="00177A80"/>
    <w:rsid w:val="00177CEF"/>
    <w:rsid w:val="00177F6C"/>
    <w:rsid w:val="00177FF9"/>
    <w:rsid w:val="0018051F"/>
    <w:rsid w:val="001807A8"/>
    <w:rsid w:val="00180C01"/>
    <w:rsid w:val="00180C13"/>
    <w:rsid w:val="001812D3"/>
    <w:rsid w:val="00181990"/>
    <w:rsid w:val="001825B9"/>
    <w:rsid w:val="00182FBC"/>
    <w:rsid w:val="00183961"/>
    <w:rsid w:val="00183AA7"/>
    <w:rsid w:val="00183D00"/>
    <w:rsid w:val="0018434F"/>
    <w:rsid w:val="001868BB"/>
    <w:rsid w:val="00186D9E"/>
    <w:rsid w:val="00186DA3"/>
    <w:rsid w:val="00186FE2"/>
    <w:rsid w:val="001878A6"/>
    <w:rsid w:val="00187B10"/>
    <w:rsid w:val="00187B7B"/>
    <w:rsid w:val="00187CFA"/>
    <w:rsid w:val="00187E0C"/>
    <w:rsid w:val="00190561"/>
    <w:rsid w:val="00191741"/>
    <w:rsid w:val="00191BCA"/>
    <w:rsid w:val="00191D34"/>
    <w:rsid w:val="00191F89"/>
    <w:rsid w:val="001926C7"/>
    <w:rsid w:val="001929A9"/>
    <w:rsid w:val="00193567"/>
    <w:rsid w:val="00193B45"/>
    <w:rsid w:val="001948FC"/>
    <w:rsid w:val="00194AB0"/>
    <w:rsid w:val="00194AC2"/>
    <w:rsid w:val="001955C6"/>
    <w:rsid w:val="00195642"/>
    <w:rsid w:val="00195EEB"/>
    <w:rsid w:val="001961E3"/>
    <w:rsid w:val="0019634B"/>
    <w:rsid w:val="0019646A"/>
    <w:rsid w:val="001964A9"/>
    <w:rsid w:val="0019664A"/>
    <w:rsid w:val="00196A2D"/>
    <w:rsid w:val="00196BBF"/>
    <w:rsid w:val="00197050"/>
    <w:rsid w:val="00197084"/>
    <w:rsid w:val="001974A2"/>
    <w:rsid w:val="00197A7C"/>
    <w:rsid w:val="00197E40"/>
    <w:rsid w:val="001A004B"/>
    <w:rsid w:val="001A0053"/>
    <w:rsid w:val="001A0580"/>
    <w:rsid w:val="001A058D"/>
    <w:rsid w:val="001A086F"/>
    <w:rsid w:val="001A15A1"/>
    <w:rsid w:val="001A189B"/>
    <w:rsid w:val="001A25F7"/>
    <w:rsid w:val="001A2E57"/>
    <w:rsid w:val="001A3E05"/>
    <w:rsid w:val="001A3F09"/>
    <w:rsid w:val="001A40DF"/>
    <w:rsid w:val="001A41CD"/>
    <w:rsid w:val="001A41EF"/>
    <w:rsid w:val="001A48F9"/>
    <w:rsid w:val="001A4F06"/>
    <w:rsid w:val="001A4F0D"/>
    <w:rsid w:val="001A50BF"/>
    <w:rsid w:val="001A5150"/>
    <w:rsid w:val="001A52D1"/>
    <w:rsid w:val="001A5886"/>
    <w:rsid w:val="001A5C9B"/>
    <w:rsid w:val="001A5E07"/>
    <w:rsid w:val="001A61EF"/>
    <w:rsid w:val="001A6FCD"/>
    <w:rsid w:val="001A70C3"/>
    <w:rsid w:val="001A7B70"/>
    <w:rsid w:val="001B010A"/>
    <w:rsid w:val="001B0233"/>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D3E"/>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7D"/>
    <w:rsid w:val="001C74D7"/>
    <w:rsid w:val="001C7563"/>
    <w:rsid w:val="001C77E4"/>
    <w:rsid w:val="001C7D60"/>
    <w:rsid w:val="001C7E6C"/>
    <w:rsid w:val="001C7FCA"/>
    <w:rsid w:val="001D0504"/>
    <w:rsid w:val="001D05D7"/>
    <w:rsid w:val="001D0801"/>
    <w:rsid w:val="001D08C5"/>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83D"/>
    <w:rsid w:val="001D5BA4"/>
    <w:rsid w:val="001D5F19"/>
    <w:rsid w:val="001D6016"/>
    <w:rsid w:val="001D60A4"/>
    <w:rsid w:val="001D6273"/>
    <w:rsid w:val="001D64BA"/>
    <w:rsid w:val="001D675B"/>
    <w:rsid w:val="001D6770"/>
    <w:rsid w:val="001D6EAE"/>
    <w:rsid w:val="001D7663"/>
    <w:rsid w:val="001D7E90"/>
    <w:rsid w:val="001E02A2"/>
    <w:rsid w:val="001E0334"/>
    <w:rsid w:val="001E13F3"/>
    <w:rsid w:val="001E1687"/>
    <w:rsid w:val="001E1AEB"/>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F006E"/>
    <w:rsid w:val="001F04BB"/>
    <w:rsid w:val="001F0EE9"/>
    <w:rsid w:val="001F1202"/>
    <w:rsid w:val="001F13D3"/>
    <w:rsid w:val="001F1B55"/>
    <w:rsid w:val="001F1BC7"/>
    <w:rsid w:val="001F2161"/>
    <w:rsid w:val="001F2533"/>
    <w:rsid w:val="001F270E"/>
    <w:rsid w:val="001F2F35"/>
    <w:rsid w:val="001F324E"/>
    <w:rsid w:val="001F3AA2"/>
    <w:rsid w:val="001F3C02"/>
    <w:rsid w:val="001F3E6C"/>
    <w:rsid w:val="001F463B"/>
    <w:rsid w:val="001F48D9"/>
    <w:rsid w:val="001F4DFF"/>
    <w:rsid w:val="001F4FF7"/>
    <w:rsid w:val="001F58B5"/>
    <w:rsid w:val="001F5A3D"/>
    <w:rsid w:val="001F5BE2"/>
    <w:rsid w:val="001F5F77"/>
    <w:rsid w:val="001F7393"/>
    <w:rsid w:val="001F77B1"/>
    <w:rsid w:val="001F77E7"/>
    <w:rsid w:val="00200379"/>
    <w:rsid w:val="00200BB5"/>
    <w:rsid w:val="00200BF0"/>
    <w:rsid w:val="00200F1D"/>
    <w:rsid w:val="002011AB"/>
    <w:rsid w:val="00201878"/>
    <w:rsid w:val="00201A6A"/>
    <w:rsid w:val="0020202F"/>
    <w:rsid w:val="00202361"/>
    <w:rsid w:val="00202C46"/>
    <w:rsid w:val="00202C79"/>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B00"/>
    <w:rsid w:val="00207F94"/>
    <w:rsid w:val="0021032B"/>
    <w:rsid w:val="0021058B"/>
    <w:rsid w:val="00210704"/>
    <w:rsid w:val="00210A26"/>
    <w:rsid w:val="00210B16"/>
    <w:rsid w:val="00210B9C"/>
    <w:rsid w:val="00210E70"/>
    <w:rsid w:val="00210EEC"/>
    <w:rsid w:val="00211348"/>
    <w:rsid w:val="002114D7"/>
    <w:rsid w:val="00211DA4"/>
    <w:rsid w:val="00211E0C"/>
    <w:rsid w:val="00211F0E"/>
    <w:rsid w:val="002120DB"/>
    <w:rsid w:val="002121ED"/>
    <w:rsid w:val="002123EB"/>
    <w:rsid w:val="0021258C"/>
    <w:rsid w:val="002128E7"/>
    <w:rsid w:val="00212A1A"/>
    <w:rsid w:val="00212B26"/>
    <w:rsid w:val="00212D28"/>
    <w:rsid w:val="002139AB"/>
    <w:rsid w:val="00213C0C"/>
    <w:rsid w:val="00213F4E"/>
    <w:rsid w:val="00214439"/>
    <w:rsid w:val="00214959"/>
    <w:rsid w:val="00214D48"/>
    <w:rsid w:val="00215A09"/>
    <w:rsid w:val="0021629A"/>
    <w:rsid w:val="00216674"/>
    <w:rsid w:val="002169C3"/>
    <w:rsid w:val="00216A32"/>
    <w:rsid w:val="00216C1B"/>
    <w:rsid w:val="00217862"/>
    <w:rsid w:val="00217987"/>
    <w:rsid w:val="00217C96"/>
    <w:rsid w:val="002202B3"/>
    <w:rsid w:val="002204B5"/>
    <w:rsid w:val="00220964"/>
    <w:rsid w:val="00220B9A"/>
    <w:rsid w:val="0022113F"/>
    <w:rsid w:val="002217F9"/>
    <w:rsid w:val="0022181F"/>
    <w:rsid w:val="00221BF7"/>
    <w:rsid w:val="00221D0C"/>
    <w:rsid w:val="00221ECA"/>
    <w:rsid w:val="002220EC"/>
    <w:rsid w:val="00222EED"/>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BBB"/>
    <w:rsid w:val="002369AC"/>
    <w:rsid w:val="00236A4F"/>
    <w:rsid w:val="00236B50"/>
    <w:rsid w:val="00236BD2"/>
    <w:rsid w:val="00237CD6"/>
    <w:rsid w:val="002401A4"/>
    <w:rsid w:val="0024036F"/>
    <w:rsid w:val="00240390"/>
    <w:rsid w:val="0024044A"/>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2A8"/>
    <w:rsid w:val="002472E0"/>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A7B"/>
    <w:rsid w:val="00256ED5"/>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73F"/>
    <w:rsid w:val="00262819"/>
    <w:rsid w:val="00263156"/>
    <w:rsid w:val="002633E9"/>
    <w:rsid w:val="002639A1"/>
    <w:rsid w:val="00264196"/>
    <w:rsid w:val="0026423E"/>
    <w:rsid w:val="00264428"/>
    <w:rsid w:val="002644B0"/>
    <w:rsid w:val="002645C7"/>
    <w:rsid w:val="0026466D"/>
    <w:rsid w:val="002649ED"/>
    <w:rsid w:val="00264ABD"/>
    <w:rsid w:val="00264B3B"/>
    <w:rsid w:val="00264B96"/>
    <w:rsid w:val="00264EF3"/>
    <w:rsid w:val="00264F9D"/>
    <w:rsid w:val="002651FE"/>
    <w:rsid w:val="00265243"/>
    <w:rsid w:val="0026525B"/>
    <w:rsid w:val="00265404"/>
    <w:rsid w:val="00265899"/>
    <w:rsid w:val="00265D32"/>
    <w:rsid w:val="00265FE6"/>
    <w:rsid w:val="00266589"/>
    <w:rsid w:val="002665A9"/>
    <w:rsid w:val="002665EB"/>
    <w:rsid w:val="00266A0B"/>
    <w:rsid w:val="00266D30"/>
    <w:rsid w:val="00266E75"/>
    <w:rsid w:val="002670F9"/>
    <w:rsid w:val="0026716D"/>
    <w:rsid w:val="002673E7"/>
    <w:rsid w:val="00267431"/>
    <w:rsid w:val="0026784A"/>
    <w:rsid w:val="0026785E"/>
    <w:rsid w:val="00267960"/>
    <w:rsid w:val="002679EE"/>
    <w:rsid w:val="00267B01"/>
    <w:rsid w:val="00270548"/>
    <w:rsid w:val="00270A9C"/>
    <w:rsid w:val="00270C00"/>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E"/>
    <w:rsid w:val="00275326"/>
    <w:rsid w:val="0027535F"/>
    <w:rsid w:val="00276BF8"/>
    <w:rsid w:val="00280564"/>
    <w:rsid w:val="002817D2"/>
    <w:rsid w:val="00281F09"/>
    <w:rsid w:val="00282214"/>
    <w:rsid w:val="002827C8"/>
    <w:rsid w:val="00282840"/>
    <w:rsid w:val="002828D5"/>
    <w:rsid w:val="00282BA3"/>
    <w:rsid w:val="00282C1A"/>
    <w:rsid w:val="00282DEC"/>
    <w:rsid w:val="0028345E"/>
    <w:rsid w:val="00283873"/>
    <w:rsid w:val="00284376"/>
    <w:rsid w:val="002849BC"/>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19E9"/>
    <w:rsid w:val="00292227"/>
    <w:rsid w:val="00292463"/>
    <w:rsid w:val="00292B17"/>
    <w:rsid w:val="00293325"/>
    <w:rsid w:val="00293564"/>
    <w:rsid w:val="00293593"/>
    <w:rsid w:val="0029390D"/>
    <w:rsid w:val="00293E24"/>
    <w:rsid w:val="002941C6"/>
    <w:rsid w:val="002942F2"/>
    <w:rsid w:val="00294310"/>
    <w:rsid w:val="00294483"/>
    <w:rsid w:val="00295058"/>
    <w:rsid w:val="00295BCF"/>
    <w:rsid w:val="0029627C"/>
    <w:rsid w:val="00296DEF"/>
    <w:rsid w:val="00296E41"/>
    <w:rsid w:val="002973F4"/>
    <w:rsid w:val="0029751E"/>
    <w:rsid w:val="00297900"/>
    <w:rsid w:val="00297962"/>
    <w:rsid w:val="00297D53"/>
    <w:rsid w:val="00297E82"/>
    <w:rsid w:val="002A0821"/>
    <w:rsid w:val="002A1B48"/>
    <w:rsid w:val="002A232F"/>
    <w:rsid w:val="002A25E3"/>
    <w:rsid w:val="002A277B"/>
    <w:rsid w:val="002A28F5"/>
    <w:rsid w:val="002A2D5B"/>
    <w:rsid w:val="002A33E7"/>
    <w:rsid w:val="002A34C0"/>
    <w:rsid w:val="002A3778"/>
    <w:rsid w:val="002A398A"/>
    <w:rsid w:val="002A3FC2"/>
    <w:rsid w:val="002A453D"/>
    <w:rsid w:val="002A4607"/>
    <w:rsid w:val="002A4FC6"/>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77D"/>
    <w:rsid w:val="002B4CE5"/>
    <w:rsid w:val="002B52CC"/>
    <w:rsid w:val="002B5509"/>
    <w:rsid w:val="002B5734"/>
    <w:rsid w:val="002B59ED"/>
    <w:rsid w:val="002B6023"/>
    <w:rsid w:val="002B629E"/>
    <w:rsid w:val="002B64CF"/>
    <w:rsid w:val="002B65C7"/>
    <w:rsid w:val="002B6970"/>
    <w:rsid w:val="002B6AC3"/>
    <w:rsid w:val="002B7234"/>
    <w:rsid w:val="002B7464"/>
    <w:rsid w:val="002B7EF2"/>
    <w:rsid w:val="002C096D"/>
    <w:rsid w:val="002C1261"/>
    <w:rsid w:val="002C1529"/>
    <w:rsid w:val="002C199E"/>
    <w:rsid w:val="002C1CD6"/>
    <w:rsid w:val="002C2AF7"/>
    <w:rsid w:val="002C2BD9"/>
    <w:rsid w:val="002C2F61"/>
    <w:rsid w:val="002C3372"/>
    <w:rsid w:val="002C3811"/>
    <w:rsid w:val="002C3A4F"/>
    <w:rsid w:val="002C3A7D"/>
    <w:rsid w:val="002C41F1"/>
    <w:rsid w:val="002C4434"/>
    <w:rsid w:val="002C4457"/>
    <w:rsid w:val="002C45DA"/>
    <w:rsid w:val="002C4988"/>
    <w:rsid w:val="002C4C7E"/>
    <w:rsid w:val="002C4E45"/>
    <w:rsid w:val="002C5401"/>
    <w:rsid w:val="002C55A6"/>
    <w:rsid w:val="002C55B0"/>
    <w:rsid w:val="002C5BD7"/>
    <w:rsid w:val="002C63E9"/>
    <w:rsid w:val="002C7871"/>
    <w:rsid w:val="002D0870"/>
    <w:rsid w:val="002D0893"/>
    <w:rsid w:val="002D0B7B"/>
    <w:rsid w:val="002D0CE6"/>
    <w:rsid w:val="002D0E96"/>
    <w:rsid w:val="002D1238"/>
    <w:rsid w:val="002D1266"/>
    <w:rsid w:val="002D1524"/>
    <w:rsid w:val="002D1ECA"/>
    <w:rsid w:val="002D1FEB"/>
    <w:rsid w:val="002D229C"/>
    <w:rsid w:val="002D2BE2"/>
    <w:rsid w:val="002D2C52"/>
    <w:rsid w:val="002D3E3F"/>
    <w:rsid w:val="002D3E4D"/>
    <w:rsid w:val="002D4D25"/>
    <w:rsid w:val="002D5171"/>
    <w:rsid w:val="002D51DD"/>
    <w:rsid w:val="002D548F"/>
    <w:rsid w:val="002D5C2A"/>
    <w:rsid w:val="002D70B2"/>
    <w:rsid w:val="002D7415"/>
    <w:rsid w:val="002D74FC"/>
    <w:rsid w:val="002D77FE"/>
    <w:rsid w:val="002D79F8"/>
    <w:rsid w:val="002D7E0F"/>
    <w:rsid w:val="002E02D0"/>
    <w:rsid w:val="002E04E1"/>
    <w:rsid w:val="002E0702"/>
    <w:rsid w:val="002E0802"/>
    <w:rsid w:val="002E08DD"/>
    <w:rsid w:val="002E0EEB"/>
    <w:rsid w:val="002E113C"/>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DA3"/>
    <w:rsid w:val="002F20DB"/>
    <w:rsid w:val="002F2184"/>
    <w:rsid w:val="002F21C2"/>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8B6"/>
    <w:rsid w:val="00305BEC"/>
    <w:rsid w:val="00306238"/>
    <w:rsid w:val="00306ADC"/>
    <w:rsid w:val="003070B7"/>
    <w:rsid w:val="0030777F"/>
    <w:rsid w:val="00307C18"/>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425"/>
    <w:rsid w:val="00321A7E"/>
    <w:rsid w:val="00321CF2"/>
    <w:rsid w:val="003221D8"/>
    <w:rsid w:val="003224ED"/>
    <w:rsid w:val="003229AE"/>
    <w:rsid w:val="00322B49"/>
    <w:rsid w:val="003237FD"/>
    <w:rsid w:val="00323A6D"/>
    <w:rsid w:val="00323E93"/>
    <w:rsid w:val="0032456C"/>
    <w:rsid w:val="0032507E"/>
    <w:rsid w:val="003250A4"/>
    <w:rsid w:val="00325346"/>
    <w:rsid w:val="0032538A"/>
    <w:rsid w:val="00325787"/>
    <w:rsid w:val="00325FBF"/>
    <w:rsid w:val="003265DC"/>
    <w:rsid w:val="0032685B"/>
    <w:rsid w:val="00326C18"/>
    <w:rsid w:val="00326CD9"/>
    <w:rsid w:val="00326E05"/>
    <w:rsid w:val="00327653"/>
    <w:rsid w:val="00327CFC"/>
    <w:rsid w:val="00330464"/>
    <w:rsid w:val="003306E9"/>
    <w:rsid w:val="00330B42"/>
    <w:rsid w:val="003310B5"/>
    <w:rsid w:val="0033127C"/>
    <w:rsid w:val="0033137C"/>
    <w:rsid w:val="00331535"/>
    <w:rsid w:val="00331740"/>
    <w:rsid w:val="00331897"/>
    <w:rsid w:val="00331F94"/>
    <w:rsid w:val="00332996"/>
    <w:rsid w:val="00333009"/>
    <w:rsid w:val="00333161"/>
    <w:rsid w:val="003336B8"/>
    <w:rsid w:val="00333749"/>
    <w:rsid w:val="00333BA4"/>
    <w:rsid w:val="00334082"/>
    <w:rsid w:val="00334650"/>
    <w:rsid w:val="00334784"/>
    <w:rsid w:val="003351BA"/>
    <w:rsid w:val="00335712"/>
    <w:rsid w:val="003359DE"/>
    <w:rsid w:val="00335C13"/>
    <w:rsid w:val="0033603F"/>
    <w:rsid w:val="00336A02"/>
    <w:rsid w:val="00336FBA"/>
    <w:rsid w:val="003377DD"/>
    <w:rsid w:val="00337947"/>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8CE"/>
    <w:rsid w:val="00343EB8"/>
    <w:rsid w:val="00343F8B"/>
    <w:rsid w:val="003440B7"/>
    <w:rsid w:val="0034454D"/>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47EAA"/>
    <w:rsid w:val="00350469"/>
    <w:rsid w:val="00350D42"/>
    <w:rsid w:val="00350F2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A31"/>
    <w:rsid w:val="0036180E"/>
    <w:rsid w:val="00361899"/>
    <w:rsid w:val="00361D0B"/>
    <w:rsid w:val="00361ECA"/>
    <w:rsid w:val="003621A0"/>
    <w:rsid w:val="00362761"/>
    <w:rsid w:val="003628D8"/>
    <w:rsid w:val="00362EEC"/>
    <w:rsid w:val="00363955"/>
    <w:rsid w:val="00364A5F"/>
    <w:rsid w:val="00364DFD"/>
    <w:rsid w:val="00364E8C"/>
    <w:rsid w:val="00365E28"/>
    <w:rsid w:val="003665B1"/>
    <w:rsid w:val="00366715"/>
    <w:rsid w:val="0036679F"/>
    <w:rsid w:val="00366C67"/>
    <w:rsid w:val="00367AE5"/>
    <w:rsid w:val="00367D7D"/>
    <w:rsid w:val="00367FCA"/>
    <w:rsid w:val="003702B4"/>
    <w:rsid w:val="003709C1"/>
    <w:rsid w:val="00371270"/>
    <w:rsid w:val="0037131A"/>
    <w:rsid w:val="003715AA"/>
    <w:rsid w:val="00371A59"/>
    <w:rsid w:val="00371C2F"/>
    <w:rsid w:val="00371E1D"/>
    <w:rsid w:val="0037203E"/>
    <w:rsid w:val="00372179"/>
    <w:rsid w:val="003721CB"/>
    <w:rsid w:val="0037229B"/>
    <w:rsid w:val="0037281F"/>
    <w:rsid w:val="003729E6"/>
    <w:rsid w:val="00373334"/>
    <w:rsid w:val="003735EB"/>
    <w:rsid w:val="00373AD9"/>
    <w:rsid w:val="00373B39"/>
    <w:rsid w:val="0037421C"/>
    <w:rsid w:val="0037451D"/>
    <w:rsid w:val="00375B29"/>
    <w:rsid w:val="00377C15"/>
    <w:rsid w:val="00377D6B"/>
    <w:rsid w:val="003800D0"/>
    <w:rsid w:val="003801EC"/>
    <w:rsid w:val="00380AEC"/>
    <w:rsid w:val="00380B21"/>
    <w:rsid w:val="00380E47"/>
    <w:rsid w:val="0038137D"/>
    <w:rsid w:val="003815C8"/>
    <w:rsid w:val="00381FB1"/>
    <w:rsid w:val="00382103"/>
    <w:rsid w:val="00382985"/>
    <w:rsid w:val="00382FE8"/>
    <w:rsid w:val="0038308B"/>
    <w:rsid w:val="003832EC"/>
    <w:rsid w:val="003833D2"/>
    <w:rsid w:val="00383571"/>
    <w:rsid w:val="00383A6A"/>
    <w:rsid w:val="00384662"/>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92A"/>
    <w:rsid w:val="00387A51"/>
    <w:rsid w:val="00387CC6"/>
    <w:rsid w:val="00387CC7"/>
    <w:rsid w:val="00387FF1"/>
    <w:rsid w:val="0039007E"/>
    <w:rsid w:val="0039039C"/>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BF"/>
    <w:rsid w:val="00395FBF"/>
    <w:rsid w:val="003965B2"/>
    <w:rsid w:val="00396A57"/>
    <w:rsid w:val="00397614"/>
    <w:rsid w:val="00397619"/>
    <w:rsid w:val="003977DA"/>
    <w:rsid w:val="003978C3"/>
    <w:rsid w:val="00397B9C"/>
    <w:rsid w:val="00397BDB"/>
    <w:rsid w:val="00397DA8"/>
    <w:rsid w:val="003A0960"/>
    <w:rsid w:val="003A09B1"/>
    <w:rsid w:val="003A0F8F"/>
    <w:rsid w:val="003A128C"/>
    <w:rsid w:val="003A1758"/>
    <w:rsid w:val="003A1826"/>
    <w:rsid w:val="003A1F07"/>
    <w:rsid w:val="003A24A5"/>
    <w:rsid w:val="003A271D"/>
    <w:rsid w:val="003A282E"/>
    <w:rsid w:val="003A2EFF"/>
    <w:rsid w:val="003A347B"/>
    <w:rsid w:val="003A364D"/>
    <w:rsid w:val="003A3FCB"/>
    <w:rsid w:val="003A401A"/>
    <w:rsid w:val="003A4286"/>
    <w:rsid w:val="003A43B4"/>
    <w:rsid w:val="003A469A"/>
    <w:rsid w:val="003A554C"/>
    <w:rsid w:val="003A5AB6"/>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4C0C"/>
    <w:rsid w:val="003B5438"/>
    <w:rsid w:val="003B5E86"/>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B4D"/>
    <w:rsid w:val="003C5C6B"/>
    <w:rsid w:val="003C5D82"/>
    <w:rsid w:val="003C5EA6"/>
    <w:rsid w:val="003C608A"/>
    <w:rsid w:val="003C609B"/>
    <w:rsid w:val="003C64C3"/>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85"/>
    <w:rsid w:val="003D38D2"/>
    <w:rsid w:val="003D3F48"/>
    <w:rsid w:val="003D4418"/>
    <w:rsid w:val="003D4874"/>
    <w:rsid w:val="003D49D2"/>
    <w:rsid w:val="003D4A91"/>
    <w:rsid w:val="003D4B27"/>
    <w:rsid w:val="003D5CFD"/>
    <w:rsid w:val="003D5EED"/>
    <w:rsid w:val="003D5F2A"/>
    <w:rsid w:val="003D6382"/>
    <w:rsid w:val="003D63A5"/>
    <w:rsid w:val="003D67B0"/>
    <w:rsid w:val="003D6FCA"/>
    <w:rsid w:val="003D7426"/>
    <w:rsid w:val="003D76D4"/>
    <w:rsid w:val="003D7AEC"/>
    <w:rsid w:val="003D7DF2"/>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628"/>
    <w:rsid w:val="003F1A6C"/>
    <w:rsid w:val="003F24FD"/>
    <w:rsid w:val="003F25A3"/>
    <w:rsid w:val="003F2935"/>
    <w:rsid w:val="003F3229"/>
    <w:rsid w:val="003F363D"/>
    <w:rsid w:val="003F3828"/>
    <w:rsid w:val="003F389E"/>
    <w:rsid w:val="003F40A7"/>
    <w:rsid w:val="003F554E"/>
    <w:rsid w:val="003F5EA4"/>
    <w:rsid w:val="003F6C2B"/>
    <w:rsid w:val="003F6F01"/>
    <w:rsid w:val="003F7208"/>
    <w:rsid w:val="003F741E"/>
    <w:rsid w:val="003F769B"/>
    <w:rsid w:val="003F76BC"/>
    <w:rsid w:val="00400084"/>
    <w:rsid w:val="00400AFB"/>
    <w:rsid w:val="00400F6D"/>
    <w:rsid w:val="0040115C"/>
    <w:rsid w:val="0040193B"/>
    <w:rsid w:val="00401BCE"/>
    <w:rsid w:val="00401C87"/>
    <w:rsid w:val="00401D23"/>
    <w:rsid w:val="00402D2E"/>
    <w:rsid w:val="00402F4C"/>
    <w:rsid w:val="0040304D"/>
    <w:rsid w:val="004031B7"/>
    <w:rsid w:val="0040328C"/>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406D"/>
    <w:rsid w:val="00414202"/>
    <w:rsid w:val="00415125"/>
    <w:rsid w:val="00415155"/>
    <w:rsid w:val="004151D9"/>
    <w:rsid w:val="0041524C"/>
    <w:rsid w:val="00415D87"/>
    <w:rsid w:val="00415DCA"/>
    <w:rsid w:val="00415E4A"/>
    <w:rsid w:val="0041605D"/>
    <w:rsid w:val="00416493"/>
    <w:rsid w:val="004164B0"/>
    <w:rsid w:val="0041652A"/>
    <w:rsid w:val="00416602"/>
    <w:rsid w:val="004168EC"/>
    <w:rsid w:val="00416EB8"/>
    <w:rsid w:val="0041755D"/>
    <w:rsid w:val="00417578"/>
    <w:rsid w:val="00417A2A"/>
    <w:rsid w:val="00417AD3"/>
    <w:rsid w:val="004200C1"/>
    <w:rsid w:val="004206C4"/>
    <w:rsid w:val="00420841"/>
    <w:rsid w:val="004209FD"/>
    <w:rsid w:val="00420EB7"/>
    <w:rsid w:val="00420F1C"/>
    <w:rsid w:val="0042138F"/>
    <w:rsid w:val="004214AC"/>
    <w:rsid w:val="00421568"/>
    <w:rsid w:val="00421B81"/>
    <w:rsid w:val="00421E29"/>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2C0"/>
    <w:rsid w:val="004403B2"/>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78D"/>
    <w:rsid w:val="00445B94"/>
    <w:rsid w:val="00446608"/>
    <w:rsid w:val="0044661B"/>
    <w:rsid w:val="00446648"/>
    <w:rsid w:val="00446979"/>
    <w:rsid w:val="00446B7A"/>
    <w:rsid w:val="004475B3"/>
    <w:rsid w:val="0044774F"/>
    <w:rsid w:val="004478F4"/>
    <w:rsid w:val="00447A95"/>
    <w:rsid w:val="00447DC2"/>
    <w:rsid w:val="00447E3B"/>
    <w:rsid w:val="0045014C"/>
    <w:rsid w:val="00450813"/>
    <w:rsid w:val="004508A3"/>
    <w:rsid w:val="004509A1"/>
    <w:rsid w:val="00451060"/>
    <w:rsid w:val="00451382"/>
    <w:rsid w:val="0045145B"/>
    <w:rsid w:val="00451532"/>
    <w:rsid w:val="004517DC"/>
    <w:rsid w:val="00451FB1"/>
    <w:rsid w:val="00452E89"/>
    <w:rsid w:val="0045368E"/>
    <w:rsid w:val="00453CD7"/>
    <w:rsid w:val="0045408A"/>
    <w:rsid w:val="00455406"/>
    <w:rsid w:val="00455479"/>
    <w:rsid w:val="00455588"/>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03E"/>
    <w:rsid w:val="004575C8"/>
    <w:rsid w:val="00457912"/>
    <w:rsid w:val="0045795D"/>
    <w:rsid w:val="00460C8E"/>
    <w:rsid w:val="00461102"/>
    <w:rsid w:val="0046216D"/>
    <w:rsid w:val="00462669"/>
    <w:rsid w:val="00463174"/>
    <w:rsid w:val="00463468"/>
    <w:rsid w:val="004643FE"/>
    <w:rsid w:val="00464988"/>
    <w:rsid w:val="00464A87"/>
    <w:rsid w:val="00464F99"/>
    <w:rsid w:val="00465334"/>
    <w:rsid w:val="00465D97"/>
    <w:rsid w:val="00465F2F"/>
    <w:rsid w:val="00466200"/>
    <w:rsid w:val="004663E6"/>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A96"/>
    <w:rsid w:val="004765D7"/>
    <w:rsid w:val="00476700"/>
    <w:rsid w:val="00476DF9"/>
    <w:rsid w:val="00476EFC"/>
    <w:rsid w:val="004801B9"/>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01A"/>
    <w:rsid w:val="00490607"/>
    <w:rsid w:val="00490823"/>
    <w:rsid w:val="00490CA4"/>
    <w:rsid w:val="00491876"/>
    <w:rsid w:val="004919BE"/>
    <w:rsid w:val="00492273"/>
    <w:rsid w:val="00492C46"/>
    <w:rsid w:val="00493115"/>
    <w:rsid w:val="00493163"/>
    <w:rsid w:val="00493819"/>
    <w:rsid w:val="00493AA9"/>
    <w:rsid w:val="00494259"/>
    <w:rsid w:val="00494704"/>
    <w:rsid w:val="004949A5"/>
    <w:rsid w:val="00494D6E"/>
    <w:rsid w:val="00495630"/>
    <w:rsid w:val="0049563D"/>
    <w:rsid w:val="00495C9B"/>
    <w:rsid w:val="004962EF"/>
    <w:rsid w:val="004962F1"/>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03D"/>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A7ED1"/>
    <w:rsid w:val="004B029E"/>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325"/>
    <w:rsid w:val="004D076E"/>
    <w:rsid w:val="004D0FC4"/>
    <w:rsid w:val="004D127F"/>
    <w:rsid w:val="004D1654"/>
    <w:rsid w:val="004D1E08"/>
    <w:rsid w:val="004D1F27"/>
    <w:rsid w:val="004D2500"/>
    <w:rsid w:val="004D254B"/>
    <w:rsid w:val="004D2B40"/>
    <w:rsid w:val="004D2C06"/>
    <w:rsid w:val="004D2CF3"/>
    <w:rsid w:val="004D2F4C"/>
    <w:rsid w:val="004D3681"/>
    <w:rsid w:val="004D38C5"/>
    <w:rsid w:val="004D3F06"/>
    <w:rsid w:val="004D508E"/>
    <w:rsid w:val="004D50BB"/>
    <w:rsid w:val="004D52AF"/>
    <w:rsid w:val="004D621F"/>
    <w:rsid w:val="004D64AD"/>
    <w:rsid w:val="004D6524"/>
    <w:rsid w:val="004D7172"/>
    <w:rsid w:val="004D7590"/>
    <w:rsid w:val="004D7E05"/>
    <w:rsid w:val="004E01E5"/>
    <w:rsid w:val="004E0748"/>
    <w:rsid w:val="004E0FEB"/>
    <w:rsid w:val="004E0FFB"/>
    <w:rsid w:val="004E1785"/>
    <w:rsid w:val="004E2235"/>
    <w:rsid w:val="004E2907"/>
    <w:rsid w:val="004E2F29"/>
    <w:rsid w:val="004E3C98"/>
    <w:rsid w:val="004E4264"/>
    <w:rsid w:val="004E43B8"/>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3AA"/>
    <w:rsid w:val="004F06F2"/>
    <w:rsid w:val="004F0EA7"/>
    <w:rsid w:val="004F126F"/>
    <w:rsid w:val="004F15F1"/>
    <w:rsid w:val="004F1A48"/>
    <w:rsid w:val="004F1ACE"/>
    <w:rsid w:val="004F1CE0"/>
    <w:rsid w:val="004F214D"/>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52E"/>
    <w:rsid w:val="00502748"/>
    <w:rsid w:val="00502C1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CF2"/>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412"/>
    <w:rsid w:val="005204CC"/>
    <w:rsid w:val="005208BA"/>
    <w:rsid w:val="00520F2A"/>
    <w:rsid w:val="0052146B"/>
    <w:rsid w:val="005214E3"/>
    <w:rsid w:val="00521BC4"/>
    <w:rsid w:val="00521DF2"/>
    <w:rsid w:val="0052242F"/>
    <w:rsid w:val="00522AE3"/>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07A"/>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60"/>
    <w:rsid w:val="00556993"/>
    <w:rsid w:val="00556CE2"/>
    <w:rsid w:val="0055795D"/>
    <w:rsid w:val="00557AD3"/>
    <w:rsid w:val="00560214"/>
    <w:rsid w:val="005603C5"/>
    <w:rsid w:val="005609D2"/>
    <w:rsid w:val="00560F60"/>
    <w:rsid w:val="005617DC"/>
    <w:rsid w:val="00561ABE"/>
    <w:rsid w:val="005623F8"/>
    <w:rsid w:val="0056319E"/>
    <w:rsid w:val="005631F6"/>
    <w:rsid w:val="00564181"/>
    <w:rsid w:val="0056443F"/>
    <w:rsid w:val="00564709"/>
    <w:rsid w:val="0056472F"/>
    <w:rsid w:val="00564D0F"/>
    <w:rsid w:val="00564D62"/>
    <w:rsid w:val="0056562B"/>
    <w:rsid w:val="005656C6"/>
    <w:rsid w:val="00565CBA"/>
    <w:rsid w:val="00565FF7"/>
    <w:rsid w:val="00566163"/>
    <w:rsid w:val="005663C2"/>
    <w:rsid w:val="00566DE7"/>
    <w:rsid w:val="0056715E"/>
    <w:rsid w:val="00567A08"/>
    <w:rsid w:val="00567E41"/>
    <w:rsid w:val="0057000D"/>
    <w:rsid w:val="0057071C"/>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B3"/>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40B"/>
    <w:rsid w:val="0058162A"/>
    <w:rsid w:val="00581682"/>
    <w:rsid w:val="00581A38"/>
    <w:rsid w:val="00581E35"/>
    <w:rsid w:val="0058203C"/>
    <w:rsid w:val="0058240F"/>
    <w:rsid w:val="005829E9"/>
    <w:rsid w:val="00582A08"/>
    <w:rsid w:val="00582A39"/>
    <w:rsid w:val="005834EE"/>
    <w:rsid w:val="005837A4"/>
    <w:rsid w:val="00583D0D"/>
    <w:rsid w:val="00583D2D"/>
    <w:rsid w:val="00584236"/>
    <w:rsid w:val="0058452E"/>
    <w:rsid w:val="00584993"/>
    <w:rsid w:val="00584A15"/>
    <w:rsid w:val="00584B2A"/>
    <w:rsid w:val="00584B8B"/>
    <w:rsid w:val="00584DEB"/>
    <w:rsid w:val="00585063"/>
    <w:rsid w:val="00585195"/>
    <w:rsid w:val="00585320"/>
    <w:rsid w:val="005856EF"/>
    <w:rsid w:val="00586744"/>
    <w:rsid w:val="0058690E"/>
    <w:rsid w:val="00586B02"/>
    <w:rsid w:val="00586BA5"/>
    <w:rsid w:val="00586CC6"/>
    <w:rsid w:val="00586E34"/>
    <w:rsid w:val="00586E5D"/>
    <w:rsid w:val="00586FA6"/>
    <w:rsid w:val="005870AB"/>
    <w:rsid w:val="005871AF"/>
    <w:rsid w:val="00587217"/>
    <w:rsid w:val="005909E8"/>
    <w:rsid w:val="00591299"/>
    <w:rsid w:val="00591440"/>
    <w:rsid w:val="00591775"/>
    <w:rsid w:val="00591CF4"/>
    <w:rsid w:val="005924C3"/>
    <w:rsid w:val="00592775"/>
    <w:rsid w:val="0059360F"/>
    <w:rsid w:val="00593C0A"/>
    <w:rsid w:val="00594022"/>
    <w:rsid w:val="005940E0"/>
    <w:rsid w:val="0059432B"/>
    <w:rsid w:val="0059448B"/>
    <w:rsid w:val="005944E1"/>
    <w:rsid w:val="00595113"/>
    <w:rsid w:val="005953B3"/>
    <w:rsid w:val="005956EF"/>
    <w:rsid w:val="005959A7"/>
    <w:rsid w:val="00596AFE"/>
    <w:rsid w:val="00596CD8"/>
    <w:rsid w:val="00597421"/>
    <w:rsid w:val="005A01C9"/>
    <w:rsid w:val="005A0359"/>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CAE"/>
    <w:rsid w:val="005B1F66"/>
    <w:rsid w:val="005B2A6D"/>
    <w:rsid w:val="005B2D47"/>
    <w:rsid w:val="005B2DB2"/>
    <w:rsid w:val="005B32DC"/>
    <w:rsid w:val="005B348A"/>
    <w:rsid w:val="005B3741"/>
    <w:rsid w:val="005B379C"/>
    <w:rsid w:val="005B39BC"/>
    <w:rsid w:val="005B3A35"/>
    <w:rsid w:val="005B3A77"/>
    <w:rsid w:val="005B47A4"/>
    <w:rsid w:val="005B509F"/>
    <w:rsid w:val="005B5285"/>
    <w:rsid w:val="005B54A0"/>
    <w:rsid w:val="005B595C"/>
    <w:rsid w:val="005B5BFE"/>
    <w:rsid w:val="005B5F51"/>
    <w:rsid w:val="005B6889"/>
    <w:rsid w:val="005B6C47"/>
    <w:rsid w:val="005B6D0C"/>
    <w:rsid w:val="005B6E5E"/>
    <w:rsid w:val="005B72C1"/>
    <w:rsid w:val="005B7357"/>
    <w:rsid w:val="005B75D0"/>
    <w:rsid w:val="005B7784"/>
    <w:rsid w:val="005C0DD9"/>
    <w:rsid w:val="005C10B3"/>
    <w:rsid w:val="005C1104"/>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C7F9D"/>
    <w:rsid w:val="005D000E"/>
    <w:rsid w:val="005D01D5"/>
    <w:rsid w:val="005D02C3"/>
    <w:rsid w:val="005D09F9"/>
    <w:rsid w:val="005D0F41"/>
    <w:rsid w:val="005D0F7B"/>
    <w:rsid w:val="005D1040"/>
    <w:rsid w:val="005D117F"/>
    <w:rsid w:val="005D12C6"/>
    <w:rsid w:val="005D1466"/>
    <w:rsid w:val="005D1F74"/>
    <w:rsid w:val="005D266C"/>
    <w:rsid w:val="005D285C"/>
    <w:rsid w:val="005D2F87"/>
    <w:rsid w:val="005D3150"/>
    <w:rsid w:val="005D42F4"/>
    <w:rsid w:val="005D4A81"/>
    <w:rsid w:val="005D51C8"/>
    <w:rsid w:val="005D5767"/>
    <w:rsid w:val="005D67BC"/>
    <w:rsid w:val="005D6EE3"/>
    <w:rsid w:val="005D7389"/>
    <w:rsid w:val="005D7CBE"/>
    <w:rsid w:val="005E0019"/>
    <w:rsid w:val="005E0287"/>
    <w:rsid w:val="005E0451"/>
    <w:rsid w:val="005E0638"/>
    <w:rsid w:val="005E0B70"/>
    <w:rsid w:val="005E15D1"/>
    <w:rsid w:val="005E18AB"/>
    <w:rsid w:val="005E2694"/>
    <w:rsid w:val="005E2A50"/>
    <w:rsid w:val="005E2B14"/>
    <w:rsid w:val="005E2E35"/>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162"/>
    <w:rsid w:val="005F384F"/>
    <w:rsid w:val="005F4095"/>
    <w:rsid w:val="005F4652"/>
    <w:rsid w:val="005F4DFD"/>
    <w:rsid w:val="005F5339"/>
    <w:rsid w:val="005F5751"/>
    <w:rsid w:val="005F5B1C"/>
    <w:rsid w:val="005F5BFE"/>
    <w:rsid w:val="005F612B"/>
    <w:rsid w:val="005F6252"/>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2469"/>
    <w:rsid w:val="006031EA"/>
    <w:rsid w:val="00603D9F"/>
    <w:rsid w:val="00603EE4"/>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E83"/>
    <w:rsid w:val="006211ED"/>
    <w:rsid w:val="006215AF"/>
    <w:rsid w:val="006217AD"/>
    <w:rsid w:val="00621ACC"/>
    <w:rsid w:val="00621DC6"/>
    <w:rsid w:val="00622075"/>
    <w:rsid w:val="0062225C"/>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372"/>
    <w:rsid w:val="00630A1E"/>
    <w:rsid w:val="00630B6B"/>
    <w:rsid w:val="00630CDB"/>
    <w:rsid w:val="00631693"/>
    <w:rsid w:val="00631782"/>
    <w:rsid w:val="00631B34"/>
    <w:rsid w:val="00632A64"/>
    <w:rsid w:val="00632CD0"/>
    <w:rsid w:val="00632FA0"/>
    <w:rsid w:val="006338CB"/>
    <w:rsid w:val="0063408B"/>
    <w:rsid w:val="00634101"/>
    <w:rsid w:val="006341CB"/>
    <w:rsid w:val="00634229"/>
    <w:rsid w:val="006344FF"/>
    <w:rsid w:val="0063451C"/>
    <w:rsid w:val="00634586"/>
    <w:rsid w:val="0063489A"/>
    <w:rsid w:val="006349A8"/>
    <w:rsid w:val="006357CD"/>
    <w:rsid w:val="00635961"/>
    <w:rsid w:val="00635AC4"/>
    <w:rsid w:val="00635BE9"/>
    <w:rsid w:val="00635EED"/>
    <w:rsid w:val="00635FA0"/>
    <w:rsid w:val="006366CB"/>
    <w:rsid w:val="006368DD"/>
    <w:rsid w:val="00636B61"/>
    <w:rsid w:val="00636F25"/>
    <w:rsid w:val="00636F95"/>
    <w:rsid w:val="00637042"/>
    <w:rsid w:val="00637154"/>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2B5"/>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34C"/>
    <w:rsid w:val="0065361D"/>
    <w:rsid w:val="006538AD"/>
    <w:rsid w:val="006539CF"/>
    <w:rsid w:val="006539EE"/>
    <w:rsid w:val="00653FF2"/>
    <w:rsid w:val="0065507C"/>
    <w:rsid w:val="00655249"/>
    <w:rsid w:val="0065556A"/>
    <w:rsid w:val="00655F2D"/>
    <w:rsid w:val="00655F8A"/>
    <w:rsid w:val="00656C01"/>
    <w:rsid w:val="0065782A"/>
    <w:rsid w:val="006579DA"/>
    <w:rsid w:val="00657C81"/>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BFC"/>
    <w:rsid w:val="00671F1C"/>
    <w:rsid w:val="00671F63"/>
    <w:rsid w:val="00672184"/>
    <w:rsid w:val="00672477"/>
    <w:rsid w:val="0067251C"/>
    <w:rsid w:val="00672F70"/>
    <w:rsid w:val="00673853"/>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2B2"/>
    <w:rsid w:val="006837AF"/>
    <w:rsid w:val="0068389F"/>
    <w:rsid w:val="00683916"/>
    <w:rsid w:val="00684371"/>
    <w:rsid w:val="00684517"/>
    <w:rsid w:val="0068452D"/>
    <w:rsid w:val="006845C3"/>
    <w:rsid w:val="00684683"/>
    <w:rsid w:val="006846D9"/>
    <w:rsid w:val="00684707"/>
    <w:rsid w:val="00684720"/>
    <w:rsid w:val="006847E3"/>
    <w:rsid w:val="00684C1F"/>
    <w:rsid w:val="00685152"/>
    <w:rsid w:val="00685338"/>
    <w:rsid w:val="00685357"/>
    <w:rsid w:val="0068564B"/>
    <w:rsid w:val="00685A00"/>
    <w:rsid w:val="00685A1D"/>
    <w:rsid w:val="00685DE7"/>
    <w:rsid w:val="00686544"/>
    <w:rsid w:val="006868B0"/>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561F"/>
    <w:rsid w:val="00695662"/>
    <w:rsid w:val="006957E3"/>
    <w:rsid w:val="00695FB7"/>
    <w:rsid w:val="00696197"/>
    <w:rsid w:val="00696270"/>
    <w:rsid w:val="00696CC5"/>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E02"/>
    <w:rsid w:val="006A4F6B"/>
    <w:rsid w:val="006A5067"/>
    <w:rsid w:val="006A542E"/>
    <w:rsid w:val="006A54F9"/>
    <w:rsid w:val="006A560C"/>
    <w:rsid w:val="006A5A83"/>
    <w:rsid w:val="006A692A"/>
    <w:rsid w:val="006A7619"/>
    <w:rsid w:val="006A799B"/>
    <w:rsid w:val="006A7A42"/>
    <w:rsid w:val="006A7BF0"/>
    <w:rsid w:val="006B0003"/>
    <w:rsid w:val="006B0150"/>
    <w:rsid w:val="006B0212"/>
    <w:rsid w:val="006B0300"/>
    <w:rsid w:val="006B043D"/>
    <w:rsid w:val="006B07B0"/>
    <w:rsid w:val="006B088B"/>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A1C"/>
    <w:rsid w:val="006C0B5E"/>
    <w:rsid w:val="006C0E27"/>
    <w:rsid w:val="006C0EC1"/>
    <w:rsid w:val="006C1832"/>
    <w:rsid w:val="006C1BF5"/>
    <w:rsid w:val="006C2BF3"/>
    <w:rsid w:val="006C3118"/>
    <w:rsid w:val="006C3656"/>
    <w:rsid w:val="006C39D3"/>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1E4F"/>
    <w:rsid w:val="006D22E3"/>
    <w:rsid w:val="006D2345"/>
    <w:rsid w:val="006D2598"/>
    <w:rsid w:val="006D2CF6"/>
    <w:rsid w:val="006D3C7A"/>
    <w:rsid w:val="006D40AB"/>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D4A"/>
    <w:rsid w:val="006F0351"/>
    <w:rsid w:val="006F0A3F"/>
    <w:rsid w:val="006F0C30"/>
    <w:rsid w:val="006F0FA5"/>
    <w:rsid w:val="006F1205"/>
    <w:rsid w:val="006F150C"/>
    <w:rsid w:val="006F18FE"/>
    <w:rsid w:val="006F1DF6"/>
    <w:rsid w:val="006F225F"/>
    <w:rsid w:val="006F2323"/>
    <w:rsid w:val="006F2680"/>
    <w:rsid w:val="006F28A4"/>
    <w:rsid w:val="006F2C9C"/>
    <w:rsid w:val="006F2FA4"/>
    <w:rsid w:val="006F360E"/>
    <w:rsid w:val="006F37B4"/>
    <w:rsid w:val="006F3C9E"/>
    <w:rsid w:val="006F54BE"/>
    <w:rsid w:val="006F5F0A"/>
    <w:rsid w:val="006F618B"/>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226C"/>
    <w:rsid w:val="0070251A"/>
    <w:rsid w:val="007028B7"/>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4ED"/>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861"/>
    <w:rsid w:val="00715D03"/>
    <w:rsid w:val="00715D37"/>
    <w:rsid w:val="00715D78"/>
    <w:rsid w:val="00715F16"/>
    <w:rsid w:val="00715F52"/>
    <w:rsid w:val="00716254"/>
    <w:rsid w:val="007166A8"/>
    <w:rsid w:val="00716D00"/>
    <w:rsid w:val="00716D26"/>
    <w:rsid w:val="00717827"/>
    <w:rsid w:val="0072108E"/>
    <w:rsid w:val="007210BF"/>
    <w:rsid w:val="007210CB"/>
    <w:rsid w:val="00721287"/>
    <w:rsid w:val="00721359"/>
    <w:rsid w:val="007214A9"/>
    <w:rsid w:val="007218E6"/>
    <w:rsid w:val="00721C6B"/>
    <w:rsid w:val="007226AD"/>
    <w:rsid w:val="00722BA6"/>
    <w:rsid w:val="00722C65"/>
    <w:rsid w:val="00722CA5"/>
    <w:rsid w:val="0072302B"/>
    <w:rsid w:val="0072327A"/>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0D75"/>
    <w:rsid w:val="0073113E"/>
    <w:rsid w:val="00731404"/>
    <w:rsid w:val="007314D0"/>
    <w:rsid w:val="00731AF8"/>
    <w:rsid w:val="00731F10"/>
    <w:rsid w:val="007320A7"/>
    <w:rsid w:val="007324B4"/>
    <w:rsid w:val="00732965"/>
    <w:rsid w:val="00733AC9"/>
    <w:rsid w:val="00733EF8"/>
    <w:rsid w:val="00733FAF"/>
    <w:rsid w:val="0073498F"/>
    <w:rsid w:val="00734B82"/>
    <w:rsid w:val="00734C05"/>
    <w:rsid w:val="00734D1C"/>
    <w:rsid w:val="00734ED6"/>
    <w:rsid w:val="00735D35"/>
    <w:rsid w:val="00736011"/>
    <w:rsid w:val="00736820"/>
    <w:rsid w:val="00736874"/>
    <w:rsid w:val="0073736F"/>
    <w:rsid w:val="00737628"/>
    <w:rsid w:val="00737E7E"/>
    <w:rsid w:val="00740396"/>
    <w:rsid w:val="0074060F"/>
    <w:rsid w:val="007409A6"/>
    <w:rsid w:val="007410F0"/>
    <w:rsid w:val="00741345"/>
    <w:rsid w:val="007418C6"/>
    <w:rsid w:val="0074254B"/>
    <w:rsid w:val="007426CA"/>
    <w:rsid w:val="00742A8D"/>
    <w:rsid w:val="00742AC6"/>
    <w:rsid w:val="00742BD2"/>
    <w:rsid w:val="00742E38"/>
    <w:rsid w:val="00742E53"/>
    <w:rsid w:val="00742F6E"/>
    <w:rsid w:val="00743015"/>
    <w:rsid w:val="0074335E"/>
    <w:rsid w:val="007438B6"/>
    <w:rsid w:val="00743935"/>
    <w:rsid w:val="00743C04"/>
    <w:rsid w:val="00743CCE"/>
    <w:rsid w:val="00743F9E"/>
    <w:rsid w:val="00743FF7"/>
    <w:rsid w:val="00744249"/>
    <w:rsid w:val="00744BAB"/>
    <w:rsid w:val="00744ED3"/>
    <w:rsid w:val="00745424"/>
    <w:rsid w:val="0074542F"/>
    <w:rsid w:val="00745694"/>
    <w:rsid w:val="00745AE6"/>
    <w:rsid w:val="00745EA9"/>
    <w:rsid w:val="0074623A"/>
    <w:rsid w:val="00746664"/>
    <w:rsid w:val="00746818"/>
    <w:rsid w:val="00746D7E"/>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20B9"/>
    <w:rsid w:val="00762106"/>
    <w:rsid w:val="0076211B"/>
    <w:rsid w:val="00762739"/>
    <w:rsid w:val="007629F3"/>
    <w:rsid w:val="00762D34"/>
    <w:rsid w:val="00762FEA"/>
    <w:rsid w:val="00763153"/>
    <w:rsid w:val="007638D5"/>
    <w:rsid w:val="00763C80"/>
    <w:rsid w:val="007643A1"/>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F8"/>
    <w:rsid w:val="00770031"/>
    <w:rsid w:val="00770337"/>
    <w:rsid w:val="007708E7"/>
    <w:rsid w:val="00770F26"/>
    <w:rsid w:val="0077166D"/>
    <w:rsid w:val="007717DC"/>
    <w:rsid w:val="007719DA"/>
    <w:rsid w:val="00771A74"/>
    <w:rsid w:val="00771AC1"/>
    <w:rsid w:val="00771BCF"/>
    <w:rsid w:val="0077250F"/>
    <w:rsid w:val="00772847"/>
    <w:rsid w:val="00772C1A"/>
    <w:rsid w:val="0077303A"/>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28"/>
    <w:rsid w:val="007826CF"/>
    <w:rsid w:val="007829C4"/>
    <w:rsid w:val="00783018"/>
    <w:rsid w:val="007831BA"/>
    <w:rsid w:val="00783335"/>
    <w:rsid w:val="007839C3"/>
    <w:rsid w:val="00783C87"/>
    <w:rsid w:val="00783E6C"/>
    <w:rsid w:val="007840EF"/>
    <w:rsid w:val="00784674"/>
    <w:rsid w:val="007847C6"/>
    <w:rsid w:val="00784D1F"/>
    <w:rsid w:val="00784F7C"/>
    <w:rsid w:val="00785003"/>
    <w:rsid w:val="0078522C"/>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1CD3"/>
    <w:rsid w:val="00792049"/>
    <w:rsid w:val="00792E79"/>
    <w:rsid w:val="00793348"/>
    <w:rsid w:val="00793952"/>
    <w:rsid w:val="00793B39"/>
    <w:rsid w:val="00793D8A"/>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97E3B"/>
    <w:rsid w:val="007A06E7"/>
    <w:rsid w:val="007A0C98"/>
    <w:rsid w:val="007A0D24"/>
    <w:rsid w:val="007A0D35"/>
    <w:rsid w:val="007A17CE"/>
    <w:rsid w:val="007A1F81"/>
    <w:rsid w:val="007A2820"/>
    <w:rsid w:val="007A3040"/>
    <w:rsid w:val="007A3044"/>
    <w:rsid w:val="007A3099"/>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EE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524"/>
    <w:rsid w:val="007B2723"/>
    <w:rsid w:val="007B29CE"/>
    <w:rsid w:val="007B2DC3"/>
    <w:rsid w:val="007B392F"/>
    <w:rsid w:val="007B3C94"/>
    <w:rsid w:val="007B3DB1"/>
    <w:rsid w:val="007B40CD"/>
    <w:rsid w:val="007B41A5"/>
    <w:rsid w:val="007B44D6"/>
    <w:rsid w:val="007B453A"/>
    <w:rsid w:val="007B4A49"/>
    <w:rsid w:val="007B4AE3"/>
    <w:rsid w:val="007B5024"/>
    <w:rsid w:val="007B5573"/>
    <w:rsid w:val="007B5D17"/>
    <w:rsid w:val="007B5D8E"/>
    <w:rsid w:val="007B5F30"/>
    <w:rsid w:val="007B6627"/>
    <w:rsid w:val="007B6F1C"/>
    <w:rsid w:val="007B7075"/>
    <w:rsid w:val="007B7755"/>
    <w:rsid w:val="007B791D"/>
    <w:rsid w:val="007B7DBD"/>
    <w:rsid w:val="007B7F46"/>
    <w:rsid w:val="007C0719"/>
    <w:rsid w:val="007C082A"/>
    <w:rsid w:val="007C0C82"/>
    <w:rsid w:val="007C0EB4"/>
    <w:rsid w:val="007C0F72"/>
    <w:rsid w:val="007C190F"/>
    <w:rsid w:val="007C2A53"/>
    <w:rsid w:val="007C2AEE"/>
    <w:rsid w:val="007C2CF9"/>
    <w:rsid w:val="007C3AE0"/>
    <w:rsid w:val="007C3CD9"/>
    <w:rsid w:val="007C411A"/>
    <w:rsid w:val="007C4350"/>
    <w:rsid w:val="007C4427"/>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FB"/>
    <w:rsid w:val="007C7576"/>
    <w:rsid w:val="007C7AB4"/>
    <w:rsid w:val="007C7ADF"/>
    <w:rsid w:val="007C7B0F"/>
    <w:rsid w:val="007C7E81"/>
    <w:rsid w:val="007D07F5"/>
    <w:rsid w:val="007D0A0B"/>
    <w:rsid w:val="007D101A"/>
    <w:rsid w:val="007D139A"/>
    <w:rsid w:val="007D13BB"/>
    <w:rsid w:val="007D1832"/>
    <w:rsid w:val="007D1BE4"/>
    <w:rsid w:val="007D1D82"/>
    <w:rsid w:val="007D21A4"/>
    <w:rsid w:val="007D24D3"/>
    <w:rsid w:val="007D291C"/>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CED"/>
    <w:rsid w:val="007E1DAC"/>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E7FDC"/>
    <w:rsid w:val="007F0B24"/>
    <w:rsid w:val="007F0D56"/>
    <w:rsid w:val="007F0DEF"/>
    <w:rsid w:val="007F0EE7"/>
    <w:rsid w:val="007F0FA6"/>
    <w:rsid w:val="007F16D5"/>
    <w:rsid w:val="007F18EE"/>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98E"/>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0DF6"/>
    <w:rsid w:val="00801464"/>
    <w:rsid w:val="00801AC7"/>
    <w:rsid w:val="00801C99"/>
    <w:rsid w:val="00801CA5"/>
    <w:rsid w:val="00801CA7"/>
    <w:rsid w:val="0080252A"/>
    <w:rsid w:val="008027FC"/>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6E11"/>
    <w:rsid w:val="008076CB"/>
    <w:rsid w:val="008105DC"/>
    <w:rsid w:val="00810CB4"/>
    <w:rsid w:val="008110C9"/>
    <w:rsid w:val="00811197"/>
    <w:rsid w:val="00811FE3"/>
    <w:rsid w:val="00812360"/>
    <w:rsid w:val="00812425"/>
    <w:rsid w:val="008127AF"/>
    <w:rsid w:val="00812F0B"/>
    <w:rsid w:val="00813A2A"/>
    <w:rsid w:val="00813CC5"/>
    <w:rsid w:val="008140FA"/>
    <w:rsid w:val="0081420F"/>
    <w:rsid w:val="008143AE"/>
    <w:rsid w:val="00814687"/>
    <w:rsid w:val="00814734"/>
    <w:rsid w:val="0081589A"/>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1686"/>
    <w:rsid w:val="008229F6"/>
    <w:rsid w:val="00822A0E"/>
    <w:rsid w:val="00822AEC"/>
    <w:rsid w:val="00822C48"/>
    <w:rsid w:val="00823B0B"/>
    <w:rsid w:val="0082403D"/>
    <w:rsid w:val="008242D4"/>
    <w:rsid w:val="00824A21"/>
    <w:rsid w:val="00824B7C"/>
    <w:rsid w:val="00824D29"/>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35E"/>
    <w:rsid w:val="0083252F"/>
    <w:rsid w:val="0083306D"/>
    <w:rsid w:val="00833400"/>
    <w:rsid w:val="0083350A"/>
    <w:rsid w:val="008339A1"/>
    <w:rsid w:val="00833B74"/>
    <w:rsid w:val="0083415A"/>
    <w:rsid w:val="00834207"/>
    <w:rsid w:val="0083428F"/>
    <w:rsid w:val="008344FE"/>
    <w:rsid w:val="00834A98"/>
    <w:rsid w:val="00834CA0"/>
    <w:rsid w:val="00834CE3"/>
    <w:rsid w:val="00834D06"/>
    <w:rsid w:val="00835680"/>
    <w:rsid w:val="00835D6F"/>
    <w:rsid w:val="00836323"/>
    <w:rsid w:val="00836C18"/>
    <w:rsid w:val="00836D36"/>
    <w:rsid w:val="00837793"/>
    <w:rsid w:val="00837A7A"/>
    <w:rsid w:val="00837C54"/>
    <w:rsid w:val="00837D3F"/>
    <w:rsid w:val="00840171"/>
    <w:rsid w:val="008406A0"/>
    <w:rsid w:val="008407C0"/>
    <w:rsid w:val="0084087D"/>
    <w:rsid w:val="008410A6"/>
    <w:rsid w:val="0084160C"/>
    <w:rsid w:val="008419D8"/>
    <w:rsid w:val="00841A8C"/>
    <w:rsid w:val="008424D1"/>
    <w:rsid w:val="008426FD"/>
    <w:rsid w:val="00842EA6"/>
    <w:rsid w:val="008437B6"/>
    <w:rsid w:val="00843B8D"/>
    <w:rsid w:val="00843BBA"/>
    <w:rsid w:val="00843F03"/>
    <w:rsid w:val="008445D7"/>
    <w:rsid w:val="0084488F"/>
    <w:rsid w:val="00844CA2"/>
    <w:rsid w:val="00845256"/>
    <w:rsid w:val="008452A6"/>
    <w:rsid w:val="008456F5"/>
    <w:rsid w:val="00845CFF"/>
    <w:rsid w:val="008462E2"/>
    <w:rsid w:val="008468C2"/>
    <w:rsid w:val="00846A81"/>
    <w:rsid w:val="00846AD1"/>
    <w:rsid w:val="00847089"/>
    <w:rsid w:val="00847322"/>
    <w:rsid w:val="0084758B"/>
    <w:rsid w:val="00847716"/>
    <w:rsid w:val="00847B80"/>
    <w:rsid w:val="00847E33"/>
    <w:rsid w:val="008507F6"/>
    <w:rsid w:val="00851038"/>
    <w:rsid w:val="0085147F"/>
    <w:rsid w:val="00851B29"/>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4B21"/>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4F7"/>
    <w:rsid w:val="0086469F"/>
    <w:rsid w:val="00864703"/>
    <w:rsid w:val="008647AD"/>
    <w:rsid w:val="00865493"/>
    <w:rsid w:val="00865831"/>
    <w:rsid w:val="0086595B"/>
    <w:rsid w:val="00865DC6"/>
    <w:rsid w:val="008661AC"/>
    <w:rsid w:val="00866639"/>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73B"/>
    <w:rsid w:val="00876C08"/>
    <w:rsid w:val="00876C10"/>
    <w:rsid w:val="00876D96"/>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F06"/>
    <w:rsid w:val="008840D1"/>
    <w:rsid w:val="00884A12"/>
    <w:rsid w:val="00884B3D"/>
    <w:rsid w:val="00884EDC"/>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87A"/>
    <w:rsid w:val="00895C01"/>
    <w:rsid w:val="008964B9"/>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69D"/>
    <w:rsid w:val="008A466C"/>
    <w:rsid w:val="008A49A2"/>
    <w:rsid w:val="008A4C92"/>
    <w:rsid w:val="008A5746"/>
    <w:rsid w:val="008A638E"/>
    <w:rsid w:val="008A7203"/>
    <w:rsid w:val="008A7338"/>
    <w:rsid w:val="008A759F"/>
    <w:rsid w:val="008A7CE3"/>
    <w:rsid w:val="008B01FB"/>
    <w:rsid w:val="008B0825"/>
    <w:rsid w:val="008B0827"/>
    <w:rsid w:val="008B135A"/>
    <w:rsid w:val="008B1418"/>
    <w:rsid w:val="008B1442"/>
    <w:rsid w:val="008B1490"/>
    <w:rsid w:val="008B1A67"/>
    <w:rsid w:val="008B1E1F"/>
    <w:rsid w:val="008B1E2C"/>
    <w:rsid w:val="008B1E7C"/>
    <w:rsid w:val="008B247F"/>
    <w:rsid w:val="008B301A"/>
    <w:rsid w:val="008B309F"/>
    <w:rsid w:val="008B32D0"/>
    <w:rsid w:val="008B3836"/>
    <w:rsid w:val="008B39E4"/>
    <w:rsid w:val="008B3E06"/>
    <w:rsid w:val="008B4546"/>
    <w:rsid w:val="008B4906"/>
    <w:rsid w:val="008B4AE6"/>
    <w:rsid w:val="008B4BDE"/>
    <w:rsid w:val="008B4C9F"/>
    <w:rsid w:val="008B4CA3"/>
    <w:rsid w:val="008B53B1"/>
    <w:rsid w:val="008B55DA"/>
    <w:rsid w:val="008B578B"/>
    <w:rsid w:val="008B5CA4"/>
    <w:rsid w:val="008B61B4"/>
    <w:rsid w:val="008B642D"/>
    <w:rsid w:val="008B6564"/>
    <w:rsid w:val="008B6747"/>
    <w:rsid w:val="008B7741"/>
    <w:rsid w:val="008B7B39"/>
    <w:rsid w:val="008B7BDD"/>
    <w:rsid w:val="008B7CDA"/>
    <w:rsid w:val="008B7D7B"/>
    <w:rsid w:val="008B7F1D"/>
    <w:rsid w:val="008B7F3A"/>
    <w:rsid w:val="008C01A7"/>
    <w:rsid w:val="008C031D"/>
    <w:rsid w:val="008C0528"/>
    <w:rsid w:val="008C07A4"/>
    <w:rsid w:val="008C1045"/>
    <w:rsid w:val="008C1363"/>
    <w:rsid w:val="008C165F"/>
    <w:rsid w:val="008C18EF"/>
    <w:rsid w:val="008C1D85"/>
    <w:rsid w:val="008C211F"/>
    <w:rsid w:val="008C26CD"/>
    <w:rsid w:val="008C2AF4"/>
    <w:rsid w:val="008C32EF"/>
    <w:rsid w:val="008C34AC"/>
    <w:rsid w:val="008C3FB7"/>
    <w:rsid w:val="008C4296"/>
    <w:rsid w:val="008C4400"/>
    <w:rsid w:val="008C4BA5"/>
    <w:rsid w:val="008C5057"/>
    <w:rsid w:val="008C5322"/>
    <w:rsid w:val="008C5A1A"/>
    <w:rsid w:val="008C5A9A"/>
    <w:rsid w:val="008C60C0"/>
    <w:rsid w:val="008C683A"/>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44CE"/>
    <w:rsid w:val="008D5296"/>
    <w:rsid w:val="008D5695"/>
    <w:rsid w:val="008D5958"/>
    <w:rsid w:val="008D5A9C"/>
    <w:rsid w:val="008D5AD9"/>
    <w:rsid w:val="008D5F6F"/>
    <w:rsid w:val="008D60A1"/>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024"/>
    <w:rsid w:val="008F2530"/>
    <w:rsid w:val="008F2D6B"/>
    <w:rsid w:val="008F2DBE"/>
    <w:rsid w:val="008F2F62"/>
    <w:rsid w:val="008F33B4"/>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81D"/>
    <w:rsid w:val="009009AC"/>
    <w:rsid w:val="009009D3"/>
    <w:rsid w:val="00900BED"/>
    <w:rsid w:val="00901369"/>
    <w:rsid w:val="00901A7A"/>
    <w:rsid w:val="00902051"/>
    <w:rsid w:val="0090231D"/>
    <w:rsid w:val="0090287D"/>
    <w:rsid w:val="00902E03"/>
    <w:rsid w:val="009031A8"/>
    <w:rsid w:val="00903777"/>
    <w:rsid w:val="0090460B"/>
    <w:rsid w:val="009050FC"/>
    <w:rsid w:val="009054CF"/>
    <w:rsid w:val="009054F6"/>
    <w:rsid w:val="0090563B"/>
    <w:rsid w:val="00905798"/>
    <w:rsid w:val="0090581A"/>
    <w:rsid w:val="00905BCA"/>
    <w:rsid w:val="0090676D"/>
    <w:rsid w:val="009069A9"/>
    <w:rsid w:val="00906FA2"/>
    <w:rsid w:val="009070DB"/>
    <w:rsid w:val="00907313"/>
    <w:rsid w:val="0091004E"/>
    <w:rsid w:val="009104B1"/>
    <w:rsid w:val="00910580"/>
    <w:rsid w:val="00910706"/>
    <w:rsid w:val="0091070F"/>
    <w:rsid w:val="00910D25"/>
    <w:rsid w:val="00911284"/>
    <w:rsid w:val="00911628"/>
    <w:rsid w:val="009116AA"/>
    <w:rsid w:val="00911A46"/>
    <w:rsid w:val="00911D68"/>
    <w:rsid w:val="00911DE7"/>
    <w:rsid w:val="00913382"/>
    <w:rsid w:val="009133A5"/>
    <w:rsid w:val="00913678"/>
    <w:rsid w:val="009136C1"/>
    <w:rsid w:val="009139F4"/>
    <w:rsid w:val="00914015"/>
    <w:rsid w:val="00914183"/>
    <w:rsid w:val="00914554"/>
    <w:rsid w:val="009147AD"/>
    <w:rsid w:val="00914DBD"/>
    <w:rsid w:val="009150BD"/>
    <w:rsid w:val="009153A3"/>
    <w:rsid w:val="00915593"/>
    <w:rsid w:val="00915808"/>
    <w:rsid w:val="0091581B"/>
    <w:rsid w:val="009158DC"/>
    <w:rsid w:val="00917235"/>
    <w:rsid w:val="00917722"/>
    <w:rsid w:val="00917902"/>
    <w:rsid w:val="0091795D"/>
    <w:rsid w:val="009179DA"/>
    <w:rsid w:val="00917F27"/>
    <w:rsid w:val="00920575"/>
    <w:rsid w:val="009206D1"/>
    <w:rsid w:val="0092077A"/>
    <w:rsid w:val="009211B4"/>
    <w:rsid w:val="009217D4"/>
    <w:rsid w:val="00921873"/>
    <w:rsid w:val="00921BCC"/>
    <w:rsid w:val="00921E0A"/>
    <w:rsid w:val="009229B5"/>
    <w:rsid w:val="00923053"/>
    <w:rsid w:val="00923589"/>
    <w:rsid w:val="0092360B"/>
    <w:rsid w:val="0092369B"/>
    <w:rsid w:val="0092370D"/>
    <w:rsid w:val="00923C2D"/>
    <w:rsid w:val="0092433F"/>
    <w:rsid w:val="0092493A"/>
    <w:rsid w:val="00924CDD"/>
    <w:rsid w:val="00925245"/>
    <w:rsid w:val="00925270"/>
    <w:rsid w:val="0092538E"/>
    <w:rsid w:val="009266B2"/>
    <w:rsid w:val="009267C3"/>
    <w:rsid w:val="00926E08"/>
    <w:rsid w:val="009271C0"/>
    <w:rsid w:val="00927E3D"/>
    <w:rsid w:val="00927FC4"/>
    <w:rsid w:val="0093019F"/>
    <w:rsid w:val="00930356"/>
    <w:rsid w:val="009312EC"/>
    <w:rsid w:val="0093162D"/>
    <w:rsid w:val="00931A81"/>
    <w:rsid w:val="009324DC"/>
    <w:rsid w:val="00932657"/>
    <w:rsid w:val="00932B93"/>
    <w:rsid w:val="00932DF1"/>
    <w:rsid w:val="00933739"/>
    <w:rsid w:val="00933AE3"/>
    <w:rsid w:val="009340DA"/>
    <w:rsid w:val="00934652"/>
    <w:rsid w:val="00934BCE"/>
    <w:rsid w:val="009351CF"/>
    <w:rsid w:val="00935549"/>
    <w:rsid w:val="00935C69"/>
    <w:rsid w:val="00935D70"/>
    <w:rsid w:val="009362BB"/>
    <w:rsid w:val="00936BEF"/>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2D6C"/>
    <w:rsid w:val="009434E5"/>
    <w:rsid w:val="009435E6"/>
    <w:rsid w:val="00943B0A"/>
    <w:rsid w:val="00943ED6"/>
    <w:rsid w:val="00943F1C"/>
    <w:rsid w:val="00943FD3"/>
    <w:rsid w:val="0094423E"/>
    <w:rsid w:val="00944423"/>
    <w:rsid w:val="009444B5"/>
    <w:rsid w:val="00945134"/>
    <w:rsid w:val="0094565B"/>
    <w:rsid w:val="00945898"/>
    <w:rsid w:val="00946306"/>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6F1"/>
    <w:rsid w:val="009527F9"/>
    <w:rsid w:val="00953354"/>
    <w:rsid w:val="00953C4A"/>
    <w:rsid w:val="00953CC4"/>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461"/>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868"/>
    <w:rsid w:val="00965900"/>
    <w:rsid w:val="009663A3"/>
    <w:rsid w:val="009669E0"/>
    <w:rsid w:val="00966ABB"/>
    <w:rsid w:val="009678B7"/>
    <w:rsid w:val="00967C02"/>
    <w:rsid w:val="00970803"/>
    <w:rsid w:val="00970958"/>
    <w:rsid w:val="00970C92"/>
    <w:rsid w:val="00970F34"/>
    <w:rsid w:val="00971221"/>
    <w:rsid w:val="0097131A"/>
    <w:rsid w:val="0097149D"/>
    <w:rsid w:val="0097175E"/>
    <w:rsid w:val="00971BCF"/>
    <w:rsid w:val="00971EF4"/>
    <w:rsid w:val="009721FF"/>
    <w:rsid w:val="0097260D"/>
    <w:rsid w:val="00972957"/>
    <w:rsid w:val="009729ED"/>
    <w:rsid w:val="00972DAB"/>
    <w:rsid w:val="0097308C"/>
    <w:rsid w:val="009731B2"/>
    <w:rsid w:val="00973386"/>
    <w:rsid w:val="0097375E"/>
    <w:rsid w:val="00973BCC"/>
    <w:rsid w:val="00973C8A"/>
    <w:rsid w:val="00973FDB"/>
    <w:rsid w:val="00974220"/>
    <w:rsid w:val="00974B17"/>
    <w:rsid w:val="00975563"/>
    <w:rsid w:val="009759E1"/>
    <w:rsid w:val="00975B4E"/>
    <w:rsid w:val="00975E8C"/>
    <w:rsid w:val="00976FA9"/>
    <w:rsid w:val="0098013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12D"/>
    <w:rsid w:val="009854B5"/>
    <w:rsid w:val="00985AA1"/>
    <w:rsid w:val="00985CE8"/>
    <w:rsid w:val="00985D9E"/>
    <w:rsid w:val="009863D9"/>
    <w:rsid w:val="009868F1"/>
    <w:rsid w:val="00987977"/>
    <w:rsid w:val="00987B30"/>
    <w:rsid w:val="00987E1C"/>
    <w:rsid w:val="00990741"/>
    <w:rsid w:val="0099290F"/>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6AD"/>
    <w:rsid w:val="009958CE"/>
    <w:rsid w:val="009959DA"/>
    <w:rsid w:val="00995B5A"/>
    <w:rsid w:val="00995CAE"/>
    <w:rsid w:val="009960BD"/>
    <w:rsid w:val="009967B2"/>
    <w:rsid w:val="009969F1"/>
    <w:rsid w:val="00997201"/>
    <w:rsid w:val="009975B1"/>
    <w:rsid w:val="009978BA"/>
    <w:rsid w:val="009A0367"/>
    <w:rsid w:val="009A0638"/>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6FBE"/>
    <w:rsid w:val="009B7088"/>
    <w:rsid w:val="009B74E7"/>
    <w:rsid w:val="009B765F"/>
    <w:rsid w:val="009B77D9"/>
    <w:rsid w:val="009C000C"/>
    <w:rsid w:val="009C042C"/>
    <w:rsid w:val="009C07C0"/>
    <w:rsid w:val="009C1750"/>
    <w:rsid w:val="009C2069"/>
    <w:rsid w:val="009C21F4"/>
    <w:rsid w:val="009C280A"/>
    <w:rsid w:val="009C2C14"/>
    <w:rsid w:val="009C343E"/>
    <w:rsid w:val="009C38C9"/>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1141"/>
    <w:rsid w:val="009D1AF8"/>
    <w:rsid w:val="009D1CAF"/>
    <w:rsid w:val="009D2F92"/>
    <w:rsid w:val="009D2FAB"/>
    <w:rsid w:val="009D3399"/>
    <w:rsid w:val="009D38A5"/>
    <w:rsid w:val="009D402F"/>
    <w:rsid w:val="009D45C0"/>
    <w:rsid w:val="009D4CDC"/>
    <w:rsid w:val="009D4E9A"/>
    <w:rsid w:val="009D4F12"/>
    <w:rsid w:val="009D54BF"/>
    <w:rsid w:val="009D6344"/>
    <w:rsid w:val="009D6439"/>
    <w:rsid w:val="009D65E4"/>
    <w:rsid w:val="009D7027"/>
    <w:rsid w:val="009D712F"/>
    <w:rsid w:val="009D7583"/>
    <w:rsid w:val="009D7F1D"/>
    <w:rsid w:val="009E125B"/>
    <w:rsid w:val="009E1452"/>
    <w:rsid w:val="009E14C2"/>
    <w:rsid w:val="009E1AC7"/>
    <w:rsid w:val="009E200C"/>
    <w:rsid w:val="009E246F"/>
    <w:rsid w:val="009E2726"/>
    <w:rsid w:val="009E273E"/>
    <w:rsid w:val="009E27A2"/>
    <w:rsid w:val="009E2938"/>
    <w:rsid w:val="009E3835"/>
    <w:rsid w:val="009E38B5"/>
    <w:rsid w:val="009E3A71"/>
    <w:rsid w:val="009E3BCC"/>
    <w:rsid w:val="009E4150"/>
    <w:rsid w:val="009E44FC"/>
    <w:rsid w:val="009E47B0"/>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5E0"/>
    <w:rsid w:val="009F2CC2"/>
    <w:rsid w:val="009F3398"/>
    <w:rsid w:val="009F3636"/>
    <w:rsid w:val="009F3802"/>
    <w:rsid w:val="009F42D9"/>
    <w:rsid w:val="009F4641"/>
    <w:rsid w:val="009F4662"/>
    <w:rsid w:val="009F4E08"/>
    <w:rsid w:val="009F5724"/>
    <w:rsid w:val="009F587A"/>
    <w:rsid w:val="009F5AAE"/>
    <w:rsid w:val="009F5E32"/>
    <w:rsid w:val="009F6021"/>
    <w:rsid w:val="009F640C"/>
    <w:rsid w:val="009F7304"/>
    <w:rsid w:val="009F784B"/>
    <w:rsid w:val="009F7AAA"/>
    <w:rsid w:val="009F7BF3"/>
    <w:rsid w:val="009F7C8F"/>
    <w:rsid w:val="00A000BE"/>
    <w:rsid w:val="00A00765"/>
    <w:rsid w:val="00A0138E"/>
    <w:rsid w:val="00A016EE"/>
    <w:rsid w:val="00A0198F"/>
    <w:rsid w:val="00A01A08"/>
    <w:rsid w:val="00A0209D"/>
    <w:rsid w:val="00A02285"/>
    <w:rsid w:val="00A022E9"/>
    <w:rsid w:val="00A032DC"/>
    <w:rsid w:val="00A0344E"/>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07C27"/>
    <w:rsid w:val="00A1077E"/>
    <w:rsid w:val="00A10BDD"/>
    <w:rsid w:val="00A11724"/>
    <w:rsid w:val="00A11C9C"/>
    <w:rsid w:val="00A12465"/>
    <w:rsid w:val="00A12719"/>
    <w:rsid w:val="00A12781"/>
    <w:rsid w:val="00A128C3"/>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57F"/>
    <w:rsid w:val="00A16AF9"/>
    <w:rsid w:val="00A16C1C"/>
    <w:rsid w:val="00A176BF"/>
    <w:rsid w:val="00A17A78"/>
    <w:rsid w:val="00A17C58"/>
    <w:rsid w:val="00A17EDA"/>
    <w:rsid w:val="00A20654"/>
    <w:rsid w:val="00A20955"/>
    <w:rsid w:val="00A2098A"/>
    <w:rsid w:val="00A209E1"/>
    <w:rsid w:val="00A209F5"/>
    <w:rsid w:val="00A20C29"/>
    <w:rsid w:val="00A20D64"/>
    <w:rsid w:val="00A211FF"/>
    <w:rsid w:val="00A220A3"/>
    <w:rsid w:val="00A223C0"/>
    <w:rsid w:val="00A22746"/>
    <w:rsid w:val="00A22A36"/>
    <w:rsid w:val="00A22C65"/>
    <w:rsid w:val="00A22DB4"/>
    <w:rsid w:val="00A230C6"/>
    <w:rsid w:val="00A234F3"/>
    <w:rsid w:val="00A23A58"/>
    <w:rsid w:val="00A23D5A"/>
    <w:rsid w:val="00A23D81"/>
    <w:rsid w:val="00A23F48"/>
    <w:rsid w:val="00A24A9E"/>
    <w:rsid w:val="00A25F14"/>
    <w:rsid w:val="00A25F7C"/>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269"/>
    <w:rsid w:val="00A31948"/>
    <w:rsid w:val="00A31C11"/>
    <w:rsid w:val="00A31DB7"/>
    <w:rsid w:val="00A325B8"/>
    <w:rsid w:val="00A32D6D"/>
    <w:rsid w:val="00A33552"/>
    <w:rsid w:val="00A344B7"/>
    <w:rsid w:val="00A344CF"/>
    <w:rsid w:val="00A344E4"/>
    <w:rsid w:val="00A34703"/>
    <w:rsid w:val="00A34A6C"/>
    <w:rsid w:val="00A34AFE"/>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085B"/>
    <w:rsid w:val="00A41151"/>
    <w:rsid w:val="00A4134A"/>
    <w:rsid w:val="00A4177B"/>
    <w:rsid w:val="00A41BB9"/>
    <w:rsid w:val="00A41C4F"/>
    <w:rsid w:val="00A421C8"/>
    <w:rsid w:val="00A42624"/>
    <w:rsid w:val="00A42B88"/>
    <w:rsid w:val="00A42D0D"/>
    <w:rsid w:val="00A436FF"/>
    <w:rsid w:val="00A43F4C"/>
    <w:rsid w:val="00A441EF"/>
    <w:rsid w:val="00A44A6E"/>
    <w:rsid w:val="00A44B4A"/>
    <w:rsid w:val="00A44C88"/>
    <w:rsid w:val="00A453F1"/>
    <w:rsid w:val="00A45585"/>
    <w:rsid w:val="00A45792"/>
    <w:rsid w:val="00A45832"/>
    <w:rsid w:val="00A45C40"/>
    <w:rsid w:val="00A462CD"/>
    <w:rsid w:val="00A46496"/>
    <w:rsid w:val="00A46696"/>
    <w:rsid w:val="00A47888"/>
    <w:rsid w:val="00A479A6"/>
    <w:rsid w:val="00A47A3D"/>
    <w:rsid w:val="00A47A3E"/>
    <w:rsid w:val="00A47ABA"/>
    <w:rsid w:val="00A47BB4"/>
    <w:rsid w:val="00A47C50"/>
    <w:rsid w:val="00A47CFB"/>
    <w:rsid w:val="00A47F26"/>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D27"/>
    <w:rsid w:val="00A54654"/>
    <w:rsid w:val="00A54E70"/>
    <w:rsid w:val="00A5525A"/>
    <w:rsid w:val="00A55AAD"/>
    <w:rsid w:val="00A56065"/>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0F4"/>
    <w:rsid w:val="00A641D0"/>
    <w:rsid w:val="00A6422F"/>
    <w:rsid w:val="00A64C27"/>
    <w:rsid w:val="00A64C7C"/>
    <w:rsid w:val="00A64D16"/>
    <w:rsid w:val="00A65209"/>
    <w:rsid w:val="00A652E5"/>
    <w:rsid w:val="00A660E6"/>
    <w:rsid w:val="00A66203"/>
    <w:rsid w:val="00A66335"/>
    <w:rsid w:val="00A666E9"/>
    <w:rsid w:val="00A66B94"/>
    <w:rsid w:val="00A6709F"/>
    <w:rsid w:val="00A67610"/>
    <w:rsid w:val="00A6785E"/>
    <w:rsid w:val="00A67DCD"/>
    <w:rsid w:val="00A70237"/>
    <w:rsid w:val="00A70437"/>
    <w:rsid w:val="00A70E15"/>
    <w:rsid w:val="00A70EE3"/>
    <w:rsid w:val="00A71085"/>
    <w:rsid w:val="00A71169"/>
    <w:rsid w:val="00A713D9"/>
    <w:rsid w:val="00A7142A"/>
    <w:rsid w:val="00A71877"/>
    <w:rsid w:val="00A719C8"/>
    <w:rsid w:val="00A72972"/>
    <w:rsid w:val="00A72ABE"/>
    <w:rsid w:val="00A72B0E"/>
    <w:rsid w:val="00A72CDB"/>
    <w:rsid w:val="00A72E71"/>
    <w:rsid w:val="00A72F0C"/>
    <w:rsid w:val="00A7358F"/>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829"/>
    <w:rsid w:val="00A80E97"/>
    <w:rsid w:val="00A8103A"/>
    <w:rsid w:val="00A81305"/>
    <w:rsid w:val="00A813A4"/>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84F"/>
    <w:rsid w:val="00A91ACF"/>
    <w:rsid w:val="00A9238B"/>
    <w:rsid w:val="00A927E5"/>
    <w:rsid w:val="00A92C2D"/>
    <w:rsid w:val="00A93075"/>
    <w:rsid w:val="00A931B4"/>
    <w:rsid w:val="00A931BA"/>
    <w:rsid w:val="00A93458"/>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97FB6"/>
    <w:rsid w:val="00AA016C"/>
    <w:rsid w:val="00AA07BB"/>
    <w:rsid w:val="00AA0AB0"/>
    <w:rsid w:val="00AA0C5A"/>
    <w:rsid w:val="00AA1895"/>
    <w:rsid w:val="00AA1CEC"/>
    <w:rsid w:val="00AA1E74"/>
    <w:rsid w:val="00AA2481"/>
    <w:rsid w:val="00AA2582"/>
    <w:rsid w:val="00AA2B1A"/>
    <w:rsid w:val="00AA337C"/>
    <w:rsid w:val="00AA4A37"/>
    <w:rsid w:val="00AA4C8C"/>
    <w:rsid w:val="00AA4F72"/>
    <w:rsid w:val="00AA5072"/>
    <w:rsid w:val="00AA56A3"/>
    <w:rsid w:val="00AA5788"/>
    <w:rsid w:val="00AA5812"/>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C0860"/>
    <w:rsid w:val="00AC0899"/>
    <w:rsid w:val="00AC0A4B"/>
    <w:rsid w:val="00AC0B76"/>
    <w:rsid w:val="00AC0D59"/>
    <w:rsid w:val="00AC0D95"/>
    <w:rsid w:val="00AC101F"/>
    <w:rsid w:val="00AC19F4"/>
    <w:rsid w:val="00AC2614"/>
    <w:rsid w:val="00AC27FC"/>
    <w:rsid w:val="00AC2884"/>
    <w:rsid w:val="00AC351A"/>
    <w:rsid w:val="00AC3653"/>
    <w:rsid w:val="00AC3B89"/>
    <w:rsid w:val="00AC409A"/>
    <w:rsid w:val="00AC43F5"/>
    <w:rsid w:val="00AC4501"/>
    <w:rsid w:val="00AC457E"/>
    <w:rsid w:val="00AC4742"/>
    <w:rsid w:val="00AC483A"/>
    <w:rsid w:val="00AC4AD7"/>
    <w:rsid w:val="00AC5377"/>
    <w:rsid w:val="00AC56C3"/>
    <w:rsid w:val="00AC588C"/>
    <w:rsid w:val="00AC5CC1"/>
    <w:rsid w:val="00AC6184"/>
    <w:rsid w:val="00AC67B5"/>
    <w:rsid w:val="00AC73F6"/>
    <w:rsid w:val="00AC777F"/>
    <w:rsid w:val="00AD05DF"/>
    <w:rsid w:val="00AD0744"/>
    <w:rsid w:val="00AD154B"/>
    <w:rsid w:val="00AD1624"/>
    <w:rsid w:val="00AD18D1"/>
    <w:rsid w:val="00AD1B59"/>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63"/>
    <w:rsid w:val="00AE00B7"/>
    <w:rsid w:val="00AE03AA"/>
    <w:rsid w:val="00AE0897"/>
    <w:rsid w:val="00AE1050"/>
    <w:rsid w:val="00AE12A4"/>
    <w:rsid w:val="00AE163E"/>
    <w:rsid w:val="00AE17A6"/>
    <w:rsid w:val="00AE1E85"/>
    <w:rsid w:val="00AE2095"/>
    <w:rsid w:val="00AE2171"/>
    <w:rsid w:val="00AE2853"/>
    <w:rsid w:val="00AE2D2F"/>
    <w:rsid w:val="00AE383D"/>
    <w:rsid w:val="00AE38E2"/>
    <w:rsid w:val="00AE41E9"/>
    <w:rsid w:val="00AE4515"/>
    <w:rsid w:val="00AE47A7"/>
    <w:rsid w:val="00AE4949"/>
    <w:rsid w:val="00AE4B28"/>
    <w:rsid w:val="00AE542B"/>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84F"/>
    <w:rsid w:val="00AF78A0"/>
    <w:rsid w:val="00AF7912"/>
    <w:rsid w:val="00AF7FD0"/>
    <w:rsid w:val="00B00174"/>
    <w:rsid w:val="00B005A2"/>
    <w:rsid w:val="00B006F2"/>
    <w:rsid w:val="00B00D4F"/>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A8"/>
    <w:rsid w:val="00B101D7"/>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593"/>
    <w:rsid w:val="00B15EB9"/>
    <w:rsid w:val="00B165E9"/>
    <w:rsid w:val="00B166C2"/>
    <w:rsid w:val="00B166D0"/>
    <w:rsid w:val="00B16C01"/>
    <w:rsid w:val="00B16DAD"/>
    <w:rsid w:val="00B17297"/>
    <w:rsid w:val="00B1731B"/>
    <w:rsid w:val="00B17450"/>
    <w:rsid w:val="00B17BC7"/>
    <w:rsid w:val="00B20CE4"/>
    <w:rsid w:val="00B20DFC"/>
    <w:rsid w:val="00B21054"/>
    <w:rsid w:val="00B217EF"/>
    <w:rsid w:val="00B218AE"/>
    <w:rsid w:val="00B22CFC"/>
    <w:rsid w:val="00B2320B"/>
    <w:rsid w:val="00B23862"/>
    <w:rsid w:val="00B2467A"/>
    <w:rsid w:val="00B2494F"/>
    <w:rsid w:val="00B24DDD"/>
    <w:rsid w:val="00B24FE8"/>
    <w:rsid w:val="00B24FFB"/>
    <w:rsid w:val="00B253DF"/>
    <w:rsid w:val="00B254C0"/>
    <w:rsid w:val="00B25D2D"/>
    <w:rsid w:val="00B26068"/>
    <w:rsid w:val="00B264A9"/>
    <w:rsid w:val="00B276BD"/>
    <w:rsid w:val="00B27CDF"/>
    <w:rsid w:val="00B3011A"/>
    <w:rsid w:val="00B305DC"/>
    <w:rsid w:val="00B306D6"/>
    <w:rsid w:val="00B31D7F"/>
    <w:rsid w:val="00B31E5D"/>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4611"/>
    <w:rsid w:val="00B45579"/>
    <w:rsid w:val="00B455DC"/>
    <w:rsid w:val="00B457A9"/>
    <w:rsid w:val="00B45C92"/>
    <w:rsid w:val="00B45D90"/>
    <w:rsid w:val="00B46DD0"/>
    <w:rsid w:val="00B46F30"/>
    <w:rsid w:val="00B46FAA"/>
    <w:rsid w:val="00B4773F"/>
    <w:rsid w:val="00B47DEF"/>
    <w:rsid w:val="00B47E7F"/>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09F0"/>
    <w:rsid w:val="00B612AA"/>
    <w:rsid w:val="00B61646"/>
    <w:rsid w:val="00B62270"/>
    <w:rsid w:val="00B6270D"/>
    <w:rsid w:val="00B62836"/>
    <w:rsid w:val="00B63075"/>
    <w:rsid w:val="00B63A0A"/>
    <w:rsid w:val="00B63D76"/>
    <w:rsid w:val="00B64076"/>
    <w:rsid w:val="00B65042"/>
    <w:rsid w:val="00B651DF"/>
    <w:rsid w:val="00B6549E"/>
    <w:rsid w:val="00B65801"/>
    <w:rsid w:val="00B65E14"/>
    <w:rsid w:val="00B65EF6"/>
    <w:rsid w:val="00B66504"/>
    <w:rsid w:val="00B67772"/>
    <w:rsid w:val="00B7049E"/>
    <w:rsid w:val="00B70976"/>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6E2"/>
    <w:rsid w:val="00B73A33"/>
    <w:rsid w:val="00B73FBC"/>
    <w:rsid w:val="00B74337"/>
    <w:rsid w:val="00B749DA"/>
    <w:rsid w:val="00B749EA"/>
    <w:rsid w:val="00B74A61"/>
    <w:rsid w:val="00B74BAB"/>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56A"/>
    <w:rsid w:val="00B84C25"/>
    <w:rsid w:val="00B84EB8"/>
    <w:rsid w:val="00B84F09"/>
    <w:rsid w:val="00B84F51"/>
    <w:rsid w:val="00B85163"/>
    <w:rsid w:val="00B85650"/>
    <w:rsid w:val="00B858D0"/>
    <w:rsid w:val="00B86CD3"/>
    <w:rsid w:val="00B870D9"/>
    <w:rsid w:val="00B87151"/>
    <w:rsid w:val="00B879C1"/>
    <w:rsid w:val="00B879D7"/>
    <w:rsid w:val="00B87D4D"/>
    <w:rsid w:val="00B900DD"/>
    <w:rsid w:val="00B90A04"/>
    <w:rsid w:val="00B90A7A"/>
    <w:rsid w:val="00B9133C"/>
    <w:rsid w:val="00B913E6"/>
    <w:rsid w:val="00B914D6"/>
    <w:rsid w:val="00B917DC"/>
    <w:rsid w:val="00B91A0A"/>
    <w:rsid w:val="00B924C2"/>
    <w:rsid w:val="00B92986"/>
    <w:rsid w:val="00B931C8"/>
    <w:rsid w:val="00B9332D"/>
    <w:rsid w:val="00B938A3"/>
    <w:rsid w:val="00B93CF4"/>
    <w:rsid w:val="00B943B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5D9"/>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D5"/>
    <w:rsid w:val="00BB129F"/>
    <w:rsid w:val="00BB1566"/>
    <w:rsid w:val="00BB1573"/>
    <w:rsid w:val="00BB2091"/>
    <w:rsid w:val="00BB20CD"/>
    <w:rsid w:val="00BB21F1"/>
    <w:rsid w:val="00BB2BE3"/>
    <w:rsid w:val="00BB3882"/>
    <w:rsid w:val="00BB40A5"/>
    <w:rsid w:val="00BB48EE"/>
    <w:rsid w:val="00BB49DC"/>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C89"/>
    <w:rsid w:val="00BC2475"/>
    <w:rsid w:val="00BC2590"/>
    <w:rsid w:val="00BC2683"/>
    <w:rsid w:val="00BC2BFF"/>
    <w:rsid w:val="00BC3095"/>
    <w:rsid w:val="00BC30F7"/>
    <w:rsid w:val="00BC3F80"/>
    <w:rsid w:val="00BC49B9"/>
    <w:rsid w:val="00BC4B01"/>
    <w:rsid w:val="00BC4D77"/>
    <w:rsid w:val="00BC4DEB"/>
    <w:rsid w:val="00BC4EC8"/>
    <w:rsid w:val="00BC4F29"/>
    <w:rsid w:val="00BC5D26"/>
    <w:rsid w:val="00BC5D90"/>
    <w:rsid w:val="00BC62BD"/>
    <w:rsid w:val="00BC675D"/>
    <w:rsid w:val="00BC6B93"/>
    <w:rsid w:val="00BC70EA"/>
    <w:rsid w:val="00BC754E"/>
    <w:rsid w:val="00BC773C"/>
    <w:rsid w:val="00BC799D"/>
    <w:rsid w:val="00BC7C8A"/>
    <w:rsid w:val="00BD005E"/>
    <w:rsid w:val="00BD082E"/>
    <w:rsid w:val="00BD0FF1"/>
    <w:rsid w:val="00BD1666"/>
    <w:rsid w:val="00BD1ABD"/>
    <w:rsid w:val="00BD1AE8"/>
    <w:rsid w:val="00BD1D04"/>
    <w:rsid w:val="00BD230C"/>
    <w:rsid w:val="00BD2448"/>
    <w:rsid w:val="00BD289C"/>
    <w:rsid w:val="00BD36C5"/>
    <w:rsid w:val="00BD3946"/>
    <w:rsid w:val="00BD3D10"/>
    <w:rsid w:val="00BD3D79"/>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85E"/>
    <w:rsid w:val="00BE0AFE"/>
    <w:rsid w:val="00BE11F7"/>
    <w:rsid w:val="00BE123D"/>
    <w:rsid w:val="00BE14B8"/>
    <w:rsid w:val="00BE151C"/>
    <w:rsid w:val="00BE17AC"/>
    <w:rsid w:val="00BE205B"/>
    <w:rsid w:val="00BE2364"/>
    <w:rsid w:val="00BE2680"/>
    <w:rsid w:val="00BE2746"/>
    <w:rsid w:val="00BE2AB8"/>
    <w:rsid w:val="00BE2D67"/>
    <w:rsid w:val="00BE43EE"/>
    <w:rsid w:val="00BE4441"/>
    <w:rsid w:val="00BE4778"/>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312"/>
    <w:rsid w:val="00BF17F2"/>
    <w:rsid w:val="00BF289A"/>
    <w:rsid w:val="00BF31AF"/>
    <w:rsid w:val="00BF31EB"/>
    <w:rsid w:val="00BF33C7"/>
    <w:rsid w:val="00BF340F"/>
    <w:rsid w:val="00BF3F87"/>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549"/>
    <w:rsid w:val="00BF762C"/>
    <w:rsid w:val="00BF7FA4"/>
    <w:rsid w:val="00C00593"/>
    <w:rsid w:val="00C00B7C"/>
    <w:rsid w:val="00C016EF"/>
    <w:rsid w:val="00C0232C"/>
    <w:rsid w:val="00C02824"/>
    <w:rsid w:val="00C029D3"/>
    <w:rsid w:val="00C02C50"/>
    <w:rsid w:val="00C0303A"/>
    <w:rsid w:val="00C03485"/>
    <w:rsid w:val="00C038FD"/>
    <w:rsid w:val="00C03DF4"/>
    <w:rsid w:val="00C04844"/>
    <w:rsid w:val="00C04B49"/>
    <w:rsid w:val="00C05192"/>
    <w:rsid w:val="00C05208"/>
    <w:rsid w:val="00C055C5"/>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7D5"/>
    <w:rsid w:val="00C22A9E"/>
    <w:rsid w:val="00C22E71"/>
    <w:rsid w:val="00C23E2B"/>
    <w:rsid w:val="00C2409C"/>
    <w:rsid w:val="00C24163"/>
    <w:rsid w:val="00C2442F"/>
    <w:rsid w:val="00C24CC7"/>
    <w:rsid w:val="00C25CCF"/>
    <w:rsid w:val="00C26675"/>
    <w:rsid w:val="00C26C75"/>
    <w:rsid w:val="00C2767B"/>
    <w:rsid w:val="00C3025E"/>
    <w:rsid w:val="00C3136E"/>
    <w:rsid w:val="00C31550"/>
    <w:rsid w:val="00C32197"/>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205"/>
    <w:rsid w:val="00C43CCD"/>
    <w:rsid w:val="00C443D5"/>
    <w:rsid w:val="00C4441F"/>
    <w:rsid w:val="00C44740"/>
    <w:rsid w:val="00C44A4F"/>
    <w:rsid w:val="00C44C2A"/>
    <w:rsid w:val="00C45570"/>
    <w:rsid w:val="00C45764"/>
    <w:rsid w:val="00C45828"/>
    <w:rsid w:val="00C458BC"/>
    <w:rsid w:val="00C459AE"/>
    <w:rsid w:val="00C461C2"/>
    <w:rsid w:val="00C4650E"/>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35"/>
    <w:rsid w:val="00C55F97"/>
    <w:rsid w:val="00C567AE"/>
    <w:rsid w:val="00C567C6"/>
    <w:rsid w:val="00C5685C"/>
    <w:rsid w:val="00C56B8C"/>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7A0"/>
    <w:rsid w:val="00C62D9A"/>
    <w:rsid w:val="00C63334"/>
    <w:rsid w:val="00C638C8"/>
    <w:rsid w:val="00C63EBD"/>
    <w:rsid w:val="00C6407B"/>
    <w:rsid w:val="00C64695"/>
    <w:rsid w:val="00C64E07"/>
    <w:rsid w:val="00C65166"/>
    <w:rsid w:val="00C651C8"/>
    <w:rsid w:val="00C651F0"/>
    <w:rsid w:val="00C65682"/>
    <w:rsid w:val="00C6568E"/>
    <w:rsid w:val="00C66094"/>
    <w:rsid w:val="00C66620"/>
    <w:rsid w:val="00C67054"/>
    <w:rsid w:val="00C670EB"/>
    <w:rsid w:val="00C67F62"/>
    <w:rsid w:val="00C70231"/>
    <w:rsid w:val="00C7046D"/>
    <w:rsid w:val="00C7078F"/>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C81"/>
    <w:rsid w:val="00C7611A"/>
    <w:rsid w:val="00C76142"/>
    <w:rsid w:val="00C76183"/>
    <w:rsid w:val="00C765D6"/>
    <w:rsid w:val="00C7665C"/>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03B"/>
    <w:rsid w:val="00C8426D"/>
    <w:rsid w:val="00C846B6"/>
    <w:rsid w:val="00C84983"/>
    <w:rsid w:val="00C84C77"/>
    <w:rsid w:val="00C8516E"/>
    <w:rsid w:val="00C85919"/>
    <w:rsid w:val="00C85D46"/>
    <w:rsid w:val="00C85E62"/>
    <w:rsid w:val="00C86007"/>
    <w:rsid w:val="00C86027"/>
    <w:rsid w:val="00C867A9"/>
    <w:rsid w:val="00C8681F"/>
    <w:rsid w:val="00C868D6"/>
    <w:rsid w:val="00C86ADE"/>
    <w:rsid w:val="00C871B0"/>
    <w:rsid w:val="00C87388"/>
    <w:rsid w:val="00C878B4"/>
    <w:rsid w:val="00C87BD0"/>
    <w:rsid w:val="00C901C9"/>
    <w:rsid w:val="00C902AA"/>
    <w:rsid w:val="00C909E0"/>
    <w:rsid w:val="00C91D67"/>
    <w:rsid w:val="00C9229C"/>
    <w:rsid w:val="00C92717"/>
    <w:rsid w:val="00C9281F"/>
    <w:rsid w:val="00C928BC"/>
    <w:rsid w:val="00C93607"/>
    <w:rsid w:val="00C93CB6"/>
    <w:rsid w:val="00C93F71"/>
    <w:rsid w:val="00C947A7"/>
    <w:rsid w:val="00C947B9"/>
    <w:rsid w:val="00C94977"/>
    <w:rsid w:val="00C94C0A"/>
    <w:rsid w:val="00C95AD0"/>
    <w:rsid w:val="00C95B87"/>
    <w:rsid w:val="00C969F3"/>
    <w:rsid w:val="00C96AEA"/>
    <w:rsid w:val="00C9760D"/>
    <w:rsid w:val="00C9768C"/>
    <w:rsid w:val="00C97888"/>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2E8F"/>
    <w:rsid w:val="00CA378F"/>
    <w:rsid w:val="00CA3D01"/>
    <w:rsid w:val="00CA3FF7"/>
    <w:rsid w:val="00CA4028"/>
    <w:rsid w:val="00CA45D3"/>
    <w:rsid w:val="00CA46A2"/>
    <w:rsid w:val="00CA48A6"/>
    <w:rsid w:val="00CA4CDA"/>
    <w:rsid w:val="00CA5774"/>
    <w:rsid w:val="00CA5D06"/>
    <w:rsid w:val="00CA615D"/>
    <w:rsid w:val="00CA6243"/>
    <w:rsid w:val="00CA636A"/>
    <w:rsid w:val="00CA6431"/>
    <w:rsid w:val="00CA65FE"/>
    <w:rsid w:val="00CA6759"/>
    <w:rsid w:val="00CA68A6"/>
    <w:rsid w:val="00CA71C0"/>
    <w:rsid w:val="00CA78E9"/>
    <w:rsid w:val="00CA79E6"/>
    <w:rsid w:val="00CA7DCD"/>
    <w:rsid w:val="00CB0047"/>
    <w:rsid w:val="00CB08ED"/>
    <w:rsid w:val="00CB0C8C"/>
    <w:rsid w:val="00CB1169"/>
    <w:rsid w:val="00CB116E"/>
    <w:rsid w:val="00CB1741"/>
    <w:rsid w:val="00CB1C6C"/>
    <w:rsid w:val="00CB2400"/>
    <w:rsid w:val="00CB2EC2"/>
    <w:rsid w:val="00CB371F"/>
    <w:rsid w:val="00CB3857"/>
    <w:rsid w:val="00CB3C0C"/>
    <w:rsid w:val="00CB405E"/>
    <w:rsid w:val="00CB419F"/>
    <w:rsid w:val="00CB5265"/>
    <w:rsid w:val="00CB5B71"/>
    <w:rsid w:val="00CB6CF9"/>
    <w:rsid w:val="00CB73B7"/>
    <w:rsid w:val="00CB7A2B"/>
    <w:rsid w:val="00CB7B84"/>
    <w:rsid w:val="00CB7BD6"/>
    <w:rsid w:val="00CB7F89"/>
    <w:rsid w:val="00CC0283"/>
    <w:rsid w:val="00CC041F"/>
    <w:rsid w:val="00CC0C17"/>
    <w:rsid w:val="00CC0FB2"/>
    <w:rsid w:val="00CC1464"/>
    <w:rsid w:val="00CC153D"/>
    <w:rsid w:val="00CC16DA"/>
    <w:rsid w:val="00CC1B44"/>
    <w:rsid w:val="00CC20E2"/>
    <w:rsid w:val="00CC2390"/>
    <w:rsid w:val="00CC2596"/>
    <w:rsid w:val="00CC2BA4"/>
    <w:rsid w:val="00CC2DCB"/>
    <w:rsid w:val="00CC2F42"/>
    <w:rsid w:val="00CC38A4"/>
    <w:rsid w:val="00CC3FAD"/>
    <w:rsid w:val="00CC432A"/>
    <w:rsid w:val="00CC43DA"/>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1505"/>
    <w:rsid w:val="00CD1635"/>
    <w:rsid w:val="00CD16E9"/>
    <w:rsid w:val="00CD1C18"/>
    <w:rsid w:val="00CD1E08"/>
    <w:rsid w:val="00CD1EA2"/>
    <w:rsid w:val="00CD20DE"/>
    <w:rsid w:val="00CD2377"/>
    <w:rsid w:val="00CD2C3B"/>
    <w:rsid w:val="00CD306C"/>
    <w:rsid w:val="00CD31EE"/>
    <w:rsid w:val="00CD3257"/>
    <w:rsid w:val="00CD3605"/>
    <w:rsid w:val="00CD38E9"/>
    <w:rsid w:val="00CD3F2C"/>
    <w:rsid w:val="00CD421E"/>
    <w:rsid w:val="00CD477C"/>
    <w:rsid w:val="00CD4895"/>
    <w:rsid w:val="00CD4B33"/>
    <w:rsid w:val="00CD54E1"/>
    <w:rsid w:val="00CD59FB"/>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95D"/>
    <w:rsid w:val="00CE3C91"/>
    <w:rsid w:val="00CE41CC"/>
    <w:rsid w:val="00CE4443"/>
    <w:rsid w:val="00CE4CA6"/>
    <w:rsid w:val="00CE50C3"/>
    <w:rsid w:val="00CE5438"/>
    <w:rsid w:val="00CE59BF"/>
    <w:rsid w:val="00CE5B42"/>
    <w:rsid w:val="00CE5C93"/>
    <w:rsid w:val="00CE6044"/>
    <w:rsid w:val="00CE6417"/>
    <w:rsid w:val="00CE6436"/>
    <w:rsid w:val="00CE6C2F"/>
    <w:rsid w:val="00CE6D96"/>
    <w:rsid w:val="00CE6F2B"/>
    <w:rsid w:val="00CE72CD"/>
    <w:rsid w:val="00CE75BB"/>
    <w:rsid w:val="00CE7960"/>
    <w:rsid w:val="00CE7B5E"/>
    <w:rsid w:val="00CE7F11"/>
    <w:rsid w:val="00CF05CC"/>
    <w:rsid w:val="00CF093B"/>
    <w:rsid w:val="00CF1146"/>
    <w:rsid w:val="00CF1600"/>
    <w:rsid w:val="00CF1706"/>
    <w:rsid w:val="00CF1894"/>
    <w:rsid w:val="00CF1AFF"/>
    <w:rsid w:val="00CF1C05"/>
    <w:rsid w:val="00CF3034"/>
    <w:rsid w:val="00CF35DA"/>
    <w:rsid w:val="00CF3F53"/>
    <w:rsid w:val="00CF40D1"/>
    <w:rsid w:val="00CF44B5"/>
    <w:rsid w:val="00CF45F2"/>
    <w:rsid w:val="00CF46A5"/>
    <w:rsid w:val="00CF4A3A"/>
    <w:rsid w:val="00CF4C76"/>
    <w:rsid w:val="00CF543F"/>
    <w:rsid w:val="00CF55DD"/>
    <w:rsid w:val="00CF5776"/>
    <w:rsid w:val="00CF590C"/>
    <w:rsid w:val="00CF59A6"/>
    <w:rsid w:val="00CF5A22"/>
    <w:rsid w:val="00CF5B17"/>
    <w:rsid w:val="00CF65AF"/>
    <w:rsid w:val="00CF65C1"/>
    <w:rsid w:val="00CF6F1F"/>
    <w:rsid w:val="00CF7413"/>
    <w:rsid w:val="00CF76EE"/>
    <w:rsid w:val="00CF7768"/>
    <w:rsid w:val="00CF7902"/>
    <w:rsid w:val="00CF792B"/>
    <w:rsid w:val="00CF7A56"/>
    <w:rsid w:val="00CF7E8D"/>
    <w:rsid w:val="00D0033E"/>
    <w:rsid w:val="00D0056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E73"/>
    <w:rsid w:val="00D12928"/>
    <w:rsid w:val="00D12EFD"/>
    <w:rsid w:val="00D133DA"/>
    <w:rsid w:val="00D13547"/>
    <w:rsid w:val="00D13975"/>
    <w:rsid w:val="00D13AE7"/>
    <w:rsid w:val="00D13C83"/>
    <w:rsid w:val="00D13D6F"/>
    <w:rsid w:val="00D14469"/>
    <w:rsid w:val="00D14D37"/>
    <w:rsid w:val="00D14E85"/>
    <w:rsid w:val="00D151BA"/>
    <w:rsid w:val="00D156D0"/>
    <w:rsid w:val="00D157E2"/>
    <w:rsid w:val="00D16045"/>
    <w:rsid w:val="00D1625E"/>
    <w:rsid w:val="00D162C2"/>
    <w:rsid w:val="00D1635E"/>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7DE0"/>
    <w:rsid w:val="00D27F7C"/>
    <w:rsid w:val="00D3067D"/>
    <w:rsid w:val="00D30C42"/>
    <w:rsid w:val="00D30C81"/>
    <w:rsid w:val="00D30F91"/>
    <w:rsid w:val="00D3110F"/>
    <w:rsid w:val="00D31118"/>
    <w:rsid w:val="00D31490"/>
    <w:rsid w:val="00D31CEE"/>
    <w:rsid w:val="00D32004"/>
    <w:rsid w:val="00D3211A"/>
    <w:rsid w:val="00D32354"/>
    <w:rsid w:val="00D32C39"/>
    <w:rsid w:val="00D32EBF"/>
    <w:rsid w:val="00D32F17"/>
    <w:rsid w:val="00D3349F"/>
    <w:rsid w:val="00D338E2"/>
    <w:rsid w:val="00D33940"/>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A29"/>
    <w:rsid w:val="00D43AC0"/>
    <w:rsid w:val="00D43F94"/>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250"/>
    <w:rsid w:val="00D573AB"/>
    <w:rsid w:val="00D573B3"/>
    <w:rsid w:val="00D57771"/>
    <w:rsid w:val="00D5777D"/>
    <w:rsid w:val="00D57EEE"/>
    <w:rsid w:val="00D6024F"/>
    <w:rsid w:val="00D60A6F"/>
    <w:rsid w:val="00D60AFA"/>
    <w:rsid w:val="00D612E5"/>
    <w:rsid w:val="00D6136C"/>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A38"/>
    <w:rsid w:val="00D66D76"/>
    <w:rsid w:val="00D6720E"/>
    <w:rsid w:val="00D67371"/>
    <w:rsid w:val="00D67484"/>
    <w:rsid w:val="00D67A81"/>
    <w:rsid w:val="00D67BB6"/>
    <w:rsid w:val="00D70214"/>
    <w:rsid w:val="00D70326"/>
    <w:rsid w:val="00D70625"/>
    <w:rsid w:val="00D706C9"/>
    <w:rsid w:val="00D70F7A"/>
    <w:rsid w:val="00D7142D"/>
    <w:rsid w:val="00D71633"/>
    <w:rsid w:val="00D71AA9"/>
    <w:rsid w:val="00D71BE4"/>
    <w:rsid w:val="00D71CF7"/>
    <w:rsid w:val="00D72717"/>
    <w:rsid w:val="00D72826"/>
    <w:rsid w:val="00D73500"/>
    <w:rsid w:val="00D7388B"/>
    <w:rsid w:val="00D73B3E"/>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AE3"/>
    <w:rsid w:val="00D82B57"/>
    <w:rsid w:val="00D82C7B"/>
    <w:rsid w:val="00D82E4E"/>
    <w:rsid w:val="00D83054"/>
    <w:rsid w:val="00D8305B"/>
    <w:rsid w:val="00D83FBA"/>
    <w:rsid w:val="00D84842"/>
    <w:rsid w:val="00D84CA6"/>
    <w:rsid w:val="00D85056"/>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C92"/>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347D"/>
    <w:rsid w:val="00DA3F72"/>
    <w:rsid w:val="00DA427E"/>
    <w:rsid w:val="00DA456E"/>
    <w:rsid w:val="00DA49B5"/>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131"/>
    <w:rsid w:val="00DB0C0B"/>
    <w:rsid w:val="00DB1930"/>
    <w:rsid w:val="00DB264C"/>
    <w:rsid w:val="00DB2A2F"/>
    <w:rsid w:val="00DB3A4B"/>
    <w:rsid w:val="00DB42BA"/>
    <w:rsid w:val="00DB495D"/>
    <w:rsid w:val="00DB4BCA"/>
    <w:rsid w:val="00DB55D1"/>
    <w:rsid w:val="00DB5679"/>
    <w:rsid w:val="00DB56E5"/>
    <w:rsid w:val="00DB5BF1"/>
    <w:rsid w:val="00DB5FF9"/>
    <w:rsid w:val="00DB636E"/>
    <w:rsid w:val="00DB6ACD"/>
    <w:rsid w:val="00DB6D3E"/>
    <w:rsid w:val="00DB735C"/>
    <w:rsid w:val="00DB7375"/>
    <w:rsid w:val="00DB78B3"/>
    <w:rsid w:val="00DB7D82"/>
    <w:rsid w:val="00DC0010"/>
    <w:rsid w:val="00DC0274"/>
    <w:rsid w:val="00DC0371"/>
    <w:rsid w:val="00DC0372"/>
    <w:rsid w:val="00DC0400"/>
    <w:rsid w:val="00DC04BB"/>
    <w:rsid w:val="00DC0522"/>
    <w:rsid w:val="00DC0945"/>
    <w:rsid w:val="00DC0B3D"/>
    <w:rsid w:val="00DC0C4C"/>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484"/>
    <w:rsid w:val="00DC452F"/>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6D3"/>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401"/>
    <w:rsid w:val="00DE28B7"/>
    <w:rsid w:val="00DE2F0B"/>
    <w:rsid w:val="00DE30D2"/>
    <w:rsid w:val="00DE34AB"/>
    <w:rsid w:val="00DE37DF"/>
    <w:rsid w:val="00DE384C"/>
    <w:rsid w:val="00DE3B4C"/>
    <w:rsid w:val="00DE3C9C"/>
    <w:rsid w:val="00DE412C"/>
    <w:rsid w:val="00DE518D"/>
    <w:rsid w:val="00DE559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5B3"/>
    <w:rsid w:val="00DF2821"/>
    <w:rsid w:val="00DF2B1A"/>
    <w:rsid w:val="00DF2D33"/>
    <w:rsid w:val="00DF2DA8"/>
    <w:rsid w:val="00DF3602"/>
    <w:rsid w:val="00DF37BD"/>
    <w:rsid w:val="00DF3979"/>
    <w:rsid w:val="00DF3AE3"/>
    <w:rsid w:val="00DF42EC"/>
    <w:rsid w:val="00DF444C"/>
    <w:rsid w:val="00DF496C"/>
    <w:rsid w:val="00DF4D97"/>
    <w:rsid w:val="00DF4FDD"/>
    <w:rsid w:val="00DF508A"/>
    <w:rsid w:val="00DF545D"/>
    <w:rsid w:val="00DF554D"/>
    <w:rsid w:val="00DF55F1"/>
    <w:rsid w:val="00DF583E"/>
    <w:rsid w:val="00DF59A3"/>
    <w:rsid w:val="00DF5DE2"/>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B0B"/>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D0C"/>
    <w:rsid w:val="00E063F9"/>
    <w:rsid w:val="00E0685C"/>
    <w:rsid w:val="00E06BD8"/>
    <w:rsid w:val="00E07207"/>
    <w:rsid w:val="00E072C4"/>
    <w:rsid w:val="00E07404"/>
    <w:rsid w:val="00E07736"/>
    <w:rsid w:val="00E077CC"/>
    <w:rsid w:val="00E07B10"/>
    <w:rsid w:val="00E103F4"/>
    <w:rsid w:val="00E10628"/>
    <w:rsid w:val="00E110DE"/>
    <w:rsid w:val="00E11190"/>
    <w:rsid w:val="00E114B3"/>
    <w:rsid w:val="00E11718"/>
    <w:rsid w:val="00E11AA5"/>
    <w:rsid w:val="00E12374"/>
    <w:rsid w:val="00E12386"/>
    <w:rsid w:val="00E1263A"/>
    <w:rsid w:val="00E13203"/>
    <w:rsid w:val="00E137DB"/>
    <w:rsid w:val="00E1422E"/>
    <w:rsid w:val="00E146D6"/>
    <w:rsid w:val="00E147D8"/>
    <w:rsid w:val="00E153AC"/>
    <w:rsid w:val="00E156EE"/>
    <w:rsid w:val="00E15A45"/>
    <w:rsid w:val="00E15B46"/>
    <w:rsid w:val="00E15DC0"/>
    <w:rsid w:val="00E15FC9"/>
    <w:rsid w:val="00E1658D"/>
    <w:rsid w:val="00E16B8B"/>
    <w:rsid w:val="00E16EAA"/>
    <w:rsid w:val="00E16EC5"/>
    <w:rsid w:val="00E17AA8"/>
    <w:rsid w:val="00E202A5"/>
    <w:rsid w:val="00E207EB"/>
    <w:rsid w:val="00E20ECD"/>
    <w:rsid w:val="00E21269"/>
    <w:rsid w:val="00E213D4"/>
    <w:rsid w:val="00E219A3"/>
    <w:rsid w:val="00E2253C"/>
    <w:rsid w:val="00E2285A"/>
    <w:rsid w:val="00E22CCE"/>
    <w:rsid w:val="00E23014"/>
    <w:rsid w:val="00E23B31"/>
    <w:rsid w:val="00E23D87"/>
    <w:rsid w:val="00E24509"/>
    <w:rsid w:val="00E245C4"/>
    <w:rsid w:val="00E2499C"/>
    <w:rsid w:val="00E2506B"/>
    <w:rsid w:val="00E254F3"/>
    <w:rsid w:val="00E25664"/>
    <w:rsid w:val="00E256ED"/>
    <w:rsid w:val="00E25848"/>
    <w:rsid w:val="00E25A8F"/>
    <w:rsid w:val="00E25C7C"/>
    <w:rsid w:val="00E25DD9"/>
    <w:rsid w:val="00E25F17"/>
    <w:rsid w:val="00E25FD2"/>
    <w:rsid w:val="00E26595"/>
    <w:rsid w:val="00E26769"/>
    <w:rsid w:val="00E26796"/>
    <w:rsid w:val="00E2688F"/>
    <w:rsid w:val="00E26E09"/>
    <w:rsid w:val="00E277F2"/>
    <w:rsid w:val="00E27D9A"/>
    <w:rsid w:val="00E30718"/>
    <w:rsid w:val="00E30E7E"/>
    <w:rsid w:val="00E3168A"/>
    <w:rsid w:val="00E31B52"/>
    <w:rsid w:val="00E31BE8"/>
    <w:rsid w:val="00E31C09"/>
    <w:rsid w:val="00E3270E"/>
    <w:rsid w:val="00E330DA"/>
    <w:rsid w:val="00E33418"/>
    <w:rsid w:val="00E3376C"/>
    <w:rsid w:val="00E337A4"/>
    <w:rsid w:val="00E352B9"/>
    <w:rsid w:val="00E35363"/>
    <w:rsid w:val="00E3561E"/>
    <w:rsid w:val="00E357FE"/>
    <w:rsid w:val="00E35BBC"/>
    <w:rsid w:val="00E36291"/>
    <w:rsid w:val="00E365E0"/>
    <w:rsid w:val="00E36AE2"/>
    <w:rsid w:val="00E36CD6"/>
    <w:rsid w:val="00E37C9D"/>
    <w:rsid w:val="00E37F34"/>
    <w:rsid w:val="00E40024"/>
    <w:rsid w:val="00E407EB"/>
    <w:rsid w:val="00E4091F"/>
    <w:rsid w:val="00E40B01"/>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48E0"/>
    <w:rsid w:val="00E4592A"/>
    <w:rsid w:val="00E45975"/>
    <w:rsid w:val="00E45C57"/>
    <w:rsid w:val="00E46252"/>
    <w:rsid w:val="00E462F8"/>
    <w:rsid w:val="00E4645D"/>
    <w:rsid w:val="00E46684"/>
    <w:rsid w:val="00E469AE"/>
    <w:rsid w:val="00E46BFB"/>
    <w:rsid w:val="00E46C56"/>
    <w:rsid w:val="00E4725C"/>
    <w:rsid w:val="00E477FE"/>
    <w:rsid w:val="00E478EA"/>
    <w:rsid w:val="00E47F38"/>
    <w:rsid w:val="00E50C68"/>
    <w:rsid w:val="00E50E96"/>
    <w:rsid w:val="00E50EC4"/>
    <w:rsid w:val="00E51622"/>
    <w:rsid w:val="00E51721"/>
    <w:rsid w:val="00E51A44"/>
    <w:rsid w:val="00E51C58"/>
    <w:rsid w:val="00E51E8D"/>
    <w:rsid w:val="00E521B1"/>
    <w:rsid w:val="00E525B0"/>
    <w:rsid w:val="00E52B3F"/>
    <w:rsid w:val="00E52CD9"/>
    <w:rsid w:val="00E5334F"/>
    <w:rsid w:val="00E533AA"/>
    <w:rsid w:val="00E53FA8"/>
    <w:rsid w:val="00E5435E"/>
    <w:rsid w:val="00E54B37"/>
    <w:rsid w:val="00E54B78"/>
    <w:rsid w:val="00E5500F"/>
    <w:rsid w:val="00E556A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8F9"/>
    <w:rsid w:val="00E62AF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56D"/>
    <w:rsid w:val="00E71753"/>
    <w:rsid w:val="00E71F32"/>
    <w:rsid w:val="00E71FFE"/>
    <w:rsid w:val="00E72A04"/>
    <w:rsid w:val="00E72F3C"/>
    <w:rsid w:val="00E73623"/>
    <w:rsid w:val="00E73DA5"/>
    <w:rsid w:val="00E73DE8"/>
    <w:rsid w:val="00E73FE8"/>
    <w:rsid w:val="00E742C9"/>
    <w:rsid w:val="00E74AE9"/>
    <w:rsid w:val="00E753BB"/>
    <w:rsid w:val="00E755E1"/>
    <w:rsid w:val="00E75E34"/>
    <w:rsid w:val="00E75EB8"/>
    <w:rsid w:val="00E76C69"/>
    <w:rsid w:val="00E77005"/>
    <w:rsid w:val="00E77191"/>
    <w:rsid w:val="00E7762F"/>
    <w:rsid w:val="00E77841"/>
    <w:rsid w:val="00E8010C"/>
    <w:rsid w:val="00E809CC"/>
    <w:rsid w:val="00E80A3C"/>
    <w:rsid w:val="00E80B3A"/>
    <w:rsid w:val="00E811C0"/>
    <w:rsid w:val="00E81327"/>
    <w:rsid w:val="00E816BA"/>
    <w:rsid w:val="00E81909"/>
    <w:rsid w:val="00E81DD1"/>
    <w:rsid w:val="00E82699"/>
    <w:rsid w:val="00E829CF"/>
    <w:rsid w:val="00E83087"/>
    <w:rsid w:val="00E831C3"/>
    <w:rsid w:val="00E836C1"/>
    <w:rsid w:val="00E8484F"/>
    <w:rsid w:val="00E84FA5"/>
    <w:rsid w:val="00E852F9"/>
    <w:rsid w:val="00E85452"/>
    <w:rsid w:val="00E85501"/>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3A2C"/>
    <w:rsid w:val="00E946D3"/>
    <w:rsid w:val="00E94709"/>
    <w:rsid w:val="00E947B7"/>
    <w:rsid w:val="00E94C4F"/>
    <w:rsid w:val="00E9502E"/>
    <w:rsid w:val="00E95113"/>
    <w:rsid w:val="00E95177"/>
    <w:rsid w:val="00E953F0"/>
    <w:rsid w:val="00E95638"/>
    <w:rsid w:val="00E95681"/>
    <w:rsid w:val="00E95A2D"/>
    <w:rsid w:val="00E95B79"/>
    <w:rsid w:val="00E963E8"/>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278"/>
    <w:rsid w:val="00EA1757"/>
    <w:rsid w:val="00EA1A0A"/>
    <w:rsid w:val="00EA1BE3"/>
    <w:rsid w:val="00EA2167"/>
    <w:rsid w:val="00EA22DB"/>
    <w:rsid w:val="00EA26ED"/>
    <w:rsid w:val="00EA2FD0"/>
    <w:rsid w:val="00EA3099"/>
    <w:rsid w:val="00EA357D"/>
    <w:rsid w:val="00EA3EF1"/>
    <w:rsid w:val="00EA4852"/>
    <w:rsid w:val="00EA4EC8"/>
    <w:rsid w:val="00EA54ED"/>
    <w:rsid w:val="00EA556F"/>
    <w:rsid w:val="00EA58DD"/>
    <w:rsid w:val="00EA5B61"/>
    <w:rsid w:val="00EA5B85"/>
    <w:rsid w:val="00EA6019"/>
    <w:rsid w:val="00EA6D9E"/>
    <w:rsid w:val="00EA73A1"/>
    <w:rsid w:val="00EA7B2C"/>
    <w:rsid w:val="00EA7D3D"/>
    <w:rsid w:val="00EA7E31"/>
    <w:rsid w:val="00EA7F0D"/>
    <w:rsid w:val="00EB06A9"/>
    <w:rsid w:val="00EB0BA1"/>
    <w:rsid w:val="00EB0C15"/>
    <w:rsid w:val="00EB17B0"/>
    <w:rsid w:val="00EB1843"/>
    <w:rsid w:val="00EB1EA8"/>
    <w:rsid w:val="00EB24D4"/>
    <w:rsid w:val="00EB2933"/>
    <w:rsid w:val="00EB3077"/>
    <w:rsid w:val="00EB30D5"/>
    <w:rsid w:val="00EB3910"/>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13B"/>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82B"/>
    <w:rsid w:val="00EC78C6"/>
    <w:rsid w:val="00EC7C42"/>
    <w:rsid w:val="00EC7EA5"/>
    <w:rsid w:val="00ED030C"/>
    <w:rsid w:val="00ED089B"/>
    <w:rsid w:val="00ED0F8F"/>
    <w:rsid w:val="00ED116F"/>
    <w:rsid w:val="00ED11A6"/>
    <w:rsid w:val="00ED1DD1"/>
    <w:rsid w:val="00ED1E53"/>
    <w:rsid w:val="00ED2183"/>
    <w:rsid w:val="00ED23D5"/>
    <w:rsid w:val="00ED2A83"/>
    <w:rsid w:val="00ED338F"/>
    <w:rsid w:val="00ED353F"/>
    <w:rsid w:val="00ED4A0F"/>
    <w:rsid w:val="00ED4ED4"/>
    <w:rsid w:val="00ED4F3E"/>
    <w:rsid w:val="00ED56B5"/>
    <w:rsid w:val="00ED57F2"/>
    <w:rsid w:val="00ED5834"/>
    <w:rsid w:val="00ED5F4F"/>
    <w:rsid w:val="00ED624F"/>
    <w:rsid w:val="00ED65A9"/>
    <w:rsid w:val="00ED66EB"/>
    <w:rsid w:val="00ED670A"/>
    <w:rsid w:val="00ED69A4"/>
    <w:rsid w:val="00ED69BA"/>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A91"/>
    <w:rsid w:val="00EE3DF6"/>
    <w:rsid w:val="00EE49CA"/>
    <w:rsid w:val="00EE55BB"/>
    <w:rsid w:val="00EE55D9"/>
    <w:rsid w:val="00EE5D79"/>
    <w:rsid w:val="00EE5F36"/>
    <w:rsid w:val="00EE645C"/>
    <w:rsid w:val="00EE67D1"/>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B4"/>
    <w:rsid w:val="00F01A73"/>
    <w:rsid w:val="00F01A81"/>
    <w:rsid w:val="00F020B0"/>
    <w:rsid w:val="00F02293"/>
    <w:rsid w:val="00F022BD"/>
    <w:rsid w:val="00F0255F"/>
    <w:rsid w:val="00F03082"/>
    <w:rsid w:val="00F033B7"/>
    <w:rsid w:val="00F033D0"/>
    <w:rsid w:val="00F034CD"/>
    <w:rsid w:val="00F03E36"/>
    <w:rsid w:val="00F05104"/>
    <w:rsid w:val="00F05129"/>
    <w:rsid w:val="00F058A8"/>
    <w:rsid w:val="00F05B17"/>
    <w:rsid w:val="00F0622A"/>
    <w:rsid w:val="00F0674B"/>
    <w:rsid w:val="00F06FFE"/>
    <w:rsid w:val="00F073C1"/>
    <w:rsid w:val="00F0760E"/>
    <w:rsid w:val="00F07E2C"/>
    <w:rsid w:val="00F07E5B"/>
    <w:rsid w:val="00F109BE"/>
    <w:rsid w:val="00F10C2B"/>
    <w:rsid w:val="00F10C63"/>
    <w:rsid w:val="00F10CD8"/>
    <w:rsid w:val="00F1114C"/>
    <w:rsid w:val="00F11BDF"/>
    <w:rsid w:val="00F121D8"/>
    <w:rsid w:val="00F1274A"/>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3C1"/>
    <w:rsid w:val="00F315AE"/>
    <w:rsid w:val="00F323A2"/>
    <w:rsid w:val="00F32BCD"/>
    <w:rsid w:val="00F32F45"/>
    <w:rsid w:val="00F3313B"/>
    <w:rsid w:val="00F33F18"/>
    <w:rsid w:val="00F3425A"/>
    <w:rsid w:val="00F34414"/>
    <w:rsid w:val="00F35216"/>
    <w:rsid w:val="00F352BE"/>
    <w:rsid w:val="00F35647"/>
    <w:rsid w:val="00F35710"/>
    <w:rsid w:val="00F361AA"/>
    <w:rsid w:val="00F361DC"/>
    <w:rsid w:val="00F36E7A"/>
    <w:rsid w:val="00F37175"/>
    <w:rsid w:val="00F3747D"/>
    <w:rsid w:val="00F37743"/>
    <w:rsid w:val="00F37752"/>
    <w:rsid w:val="00F402DE"/>
    <w:rsid w:val="00F40529"/>
    <w:rsid w:val="00F40607"/>
    <w:rsid w:val="00F40658"/>
    <w:rsid w:val="00F40A47"/>
    <w:rsid w:val="00F40AC3"/>
    <w:rsid w:val="00F40D4E"/>
    <w:rsid w:val="00F410D9"/>
    <w:rsid w:val="00F422E4"/>
    <w:rsid w:val="00F42784"/>
    <w:rsid w:val="00F42CDC"/>
    <w:rsid w:val="00F42CFD"/>
    <w:rsid w:val="00F42D48"/>
    <w:rsid w:val="00F4329D"/>
    <w:rsid w:val="00F43610"/>
    <w:rsid w:val="00F43B4B"/>
    <w:rsid w:val="00F43C1F"/>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53EE"/>
    <w:rsid w:val="00F5548A"/>
    <w:rsid w:val="00F5557D"/>
    <w:rsid w:val="00F555B1"/>
    <w:rsid w:val="00F55644"/>
    <w:rsid w:val="00F559AC"/>
    <w:rsid w:val="00F55C06"/>
    <w:rsid w:val="00F55C30"/>
    <w:rsid w:val="00F55C77"/>
    <w:rsid w:val="00F55F69"/>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322"/>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817"/>
    <w:rsid w:val="00F71EA4"/>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7434"/>
    <w:rsid w:val="00F878E9"/>
    <w:rsid w:val="00F8796E"/>
    <w:rsid w:val="00F87DCD"/>
    <w:rsid w:val="00F9013A"/>
    <w:rsid w:val="00F901A7"/>
    <w:rsid w:val="00F91614"/>
    <w:rsid w:val="00F91916"/>
    <w:rsid w:val="00F91988"/>
    <w:rsid w:val="00F919ED"/>
    <w:rsid w:val="00F91EFB"/>
    <w:rsid w:val="00F92228"/>
    <w:rsid w:val="00F92480"/>
    <w:rsid w:val="00F92618"/>
    <w:rsid w:val="00F929AF"/>
    <w:rsid w:val="00F92C45"/>
    <w:rsid w:val="00F92F73"/>
    <w:rsid w:val="00F93246"/>
    <w:rsid w:val="00F934DE"/>
    <w:rsid w:val="00F93FDB"/>
    <w:rsid w:val="00F94274"/>
    <w:rsid w:val="00F9462B"/>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661"/>
    <w:rsid w:val="00FA3992"/>
    <w:rsid w:val="00FA4ABE"/>
    <w:rsid w:val="00FA4DAB"/>
    <w:rsid w:val="00FA59F3"/>
    <w:rsid w:val="00FA60FE"/>
    <w:rsid w:val="00FA6390"/>
    <w:rsid w:val="00FA6867"/>
    <w:rsid w:val="00FA68E8"/>
    <w:rsid w:val="00FA7B96"/>
    <w:rsid w:val="00FA7D98"/>
    <w:rsid w:val="00FB0222"/>
    <w:rsid w:val="00FB0AC5"/>
    <w:rsid w:val="00FB0D9A"/>
    <w:rsid w:val="00FB0E40"/>
    <w:rsid w:val="00FB1C33"/>
    <w:rsid w:val="00FB2200"/>
    <w:rsid w:val="00FB2D5D"/>
    <w:rsid w:val="00FB2DA0"/>
    <w:rsid w:val="00FB324A"/>
    <w:rsid w:val="00FB3731"/>
    <w:rsid w:val="00FB3A5C"/>
    <w:rsid w:val="00FB3F68"/>
    <w:rsid w:val="00FB47BB"/>
    <w:rsid w:val="00FB541B"/>
    <w:rsid w:val="00FB572E"/>
    <w:rsid w:val="00FB57EC"/>
    <w:rsid w:val="00FB5C14"/>
    <w:rsid w:val="00FB5E3C"/>
    <w:rsid w:val="00FB6101"/>
    <w:rsid w:val="00FB62A2"/>
    <w:rsid w:val="00FB6AD0"/>
    <w:rsid w:val="00FB6D12"/>
    <w:rsid w:val="00FB6F16"/>
    <w:rsid w:val="00FB6F5A"/>
    <w:rsid w:val="00FB70C9"/>
    <w:rsid w:val="00FB7394"/>
    <w:rsid w:val="00FB78A7"/>
    <w:rsid w:val="00FB78FA"/>
    <w:rsid w:val="00FB79AB"/>
    <w:rsid w:val="00FB7CF4"/>
    <w:rsid w:val="00FC0960"/>
    <w:rsid w:val="00FC0AD3"/>
    <w:rsid w:val="00FC0B28"/>
    <w:rsid w:val="00FC1054"/>
    <w:rsid w:val="00FC10CC"/>
    <w:rsid w:val="00FC11AB"/>
    <w:rsid w:val="00FC17BD"/>
    <w:rsid w:val="00FC1A7C"/>
    <w:rsid w:val="00FC1B97"/>
    <w:rsid w:val="00FC1EDA"/>
    <w:rsid w:val="00FC2C0B"/>
    <w:rsid w:val="00FC2C53"/>
    <w:rsid w:val="00FC32AE"/>
    <w:rsid w:val="00FC3AB5"/>
    <w:rsid w:val="00FC3C92"/>
    <w:rsid w:val="00FC400E"/>
    <w:rsid w:val="00FC46BB"/>
    <w:rsid w:val="00FC475D"/>
    <w:rsid w:val="00FC488D"/>
    <w:rsid w:val="00FC4AC8"/>
    <w:rsid w:val="00FC4E9D"/>
    <w:rsid w:val="00FC5195"/>
    <w:rsid w:val="00FC534E"/>
    <w:rsid w:val="00FC59C0"/>
    <w:rsid w:val="00FC5D54"/>
    <w:rsid w:val="00FC6226"/>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2D2"/>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456C"/>
    <w:rsid w:val="00FE4E65"/>
    <w:rsid w:val="00FE4FF9"/>
    <w:rsid w:val="00FE5417"/>
    <w:rsid w:val="00FE5B4F"/>
    <w:rsid w:val="00FE5BC1"/>
    <w:rsid w:val="00FE5E5E"/>
    <w:rsid w:val="00FE613B"/>
    <w:rsid w:val="00FE6145"/>
    <w:rsid w:val="00FE61B6"/>
    <w:rsid w:val="00FE67B1"/>
    <w:rsid w:val="00FE6BA0"/>
    <w:rsid w:val="00FE6E01"/>
    <w:rsid w:val="00FE7BCA"/>
    <w:rsid w:val="00FE7D4D"/>
    <w:rsid w:val="00FE7EC3"/>
    <w:rsid w:val="00FF0272"/>
    <w:rsid w:val="00FF0405"/>
    <w:rsid w:val="00FF0736"/>
    <w:rsid w:val="00FF0FB2"/>
    <w:rsid w:val="00FF1065"/>
    <w:rsid w:val="00FF1C4A"/>
    <w:rsid w:val="00FF2162"/>
    <w:rsid w:val="00FF2E67"/>
    <w:rsid w:val="00FF2F6B"/>
    <w:rsid w:val="00FF32C2"/>
    <w:rsid w:val="00FF352F"/>
    <w:rsid w:val="00FF3889"/>
    <w:rsid w:val="00FF39A2"/>
    <w:rsid w:val="00FF3B42"/>
    <w:rsid w:val="00FF44A8"/>
    <w:rsid w:val="00FF468F"/>
    <w:rsid w:val="00FF4A45"/>
    <w:rsid w:val="00FF509D"/>
    <w:rsid w:val="00FF50C0"/>
    <w:rsid w:val="00FF5CBD"/>
    <w:rsid w:val="00FF5D2E"/>
    <w:rsid w:val="00FF6157"/>
    <w:rsid w:val="00FF6163"/>
    <w:rsid w:val="00FF6346"/>
    <w:rsid w:val="00FF6B01"/>
    <w:rsid w:val="00FF6CDF"/>
    <w:rsid w:val="00FF6D6D"/>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CD593"/>
  <w15:docId w15:val="{7A3C762A-B942-41E0-8029-1BEBFE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7D4"/>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paragraph" w:customStyle="1" w:styleId="paragraph">
    <w:name w:val="paragraph"/>
    <w:basedOn w:val="Normal"/>
    <w:rsid w:val="00C6568E"/>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C6568E"/>
  </w:style>
  <w:style w:type="character" w:customStyle="1" w:styleId="eop">
    <w:name w:val="eop"/>
    <w:basedOn w:val="Fuentedeprrafopredeter"/>
    <w:rsid w:val="00C6568E"/>
  </w:style>
  <w:style w:type="table" w:customStyle="1" w:styleId="Tablaconcuadrcula4">
    <w:name w:val="Tabla con cuadrícula4"/>
    <w:basedOn w:val="Tablanormal"/>
    <w:next w:val="Tablaconcuadrcula"/>
    <w:uiPriority w:val="39"/>
    <w:rsid w:val="003621A0"/>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0367">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38821146">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3042043">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2842337">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59780578">
      <w:bodyDiv w:val="1"/>
      <w:marLeft w:val="0"/>
      <w:marRight w:val="0"/>
      <w:marTop w:val="0"/>
      <w:marBottom w:val="0"/>
      <w:divBdr>
        <w:top w:val="none" w:sz="0" w:space="0" w:color="auto"/>
        <w:left w:val="none" w:sz="0" w:space="0" w:color="auto"/>
        <w:bottom w:val="none" w:sz="0" w:space="0" w:color="auto"/>
        <w:right w:val="none" w:sz="0" w:space="0" w:color="auto"/>
      </w:divBdr>
    </w:div>
    <w:div w:id="164126612">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230446">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3971698">
      <w:bodyDiv w:val="1"/>
      <w:marLeft w:val="0"/>
      <w:marRight w:val="0"/>
      <w:marTop w:val="0"/>
      <w:marBottom w:val="0"/>
      <w:divBdr>
        <w:top w:val="none" w:sz="0" w:space="0" w:color="auto"/>
        <w:left w:val="none" w:sz="0" w:space="0" w:color="auto"/>
        <w:bottom w:val="none" w:sz="0" w:space="0" w:color="auto"/>
        <w:right w:val="none" w:sz="0" w:space="0" w:color="auto"/>
      </w:divBdr>
    </w:div>
    <w:div w:id="236786245">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5234925">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7884908">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4330492">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1050747">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69376694">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84647916">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403181665">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1285849">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0734570">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2069046">
      <w:bodyDiv w:val="1"/>
      <w:marLeft w:val="0"/>
      <w:marRight w:val="0"/>
      <w:marTop w:val="0"/>
      <w:marBottom w:val="0"/>
      <w:divBdr>
        <w:top w:val="none" w:sz="0" w:space="0" w:color="auto"/>
        <w:left w:val="none" w:sz="0" w:space="0" w:color="auto"/>
        <w:bottom w:val="none" w:sz="0" w:space="0" w:color="auto"/>
        <w:right w:val="none" w:sz="0" w:space="0" w:color="auto"/>
      </w:divBdr>
    </w:div>
    <w:div w:id="485782237">
      <w:bodyDiv w:val="1"/>
      <w:marLeft w:val="0"/>
      <w:marRight w:val="0"/>
      <w:marTop w:val="0"/>
      <w:marBottom w:val="0"/>
      <w:divBdr>
        <w:top w:val="none" w:sz="0" w:space="0" w:color="auto"/>
        <w:left w:val="none" w:sz="0" w:space="0" w:color="auto"/>
        <w:bottom w:val="none" w:sz="0" w:space="0" w:color="auto"/>
        <w:right w:val="none" w:sz="0" w:space="0" w:color="auto"/>
      </w:divBdr>
    </w:div>
    <w:div w:id="488601683">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16769648">
      <w:bodyDiv w:val="1"/>
      <w:marLeft w:val="0"/>
      <w:marRight w:val="0"/>
      <w:marTop w:val="0"/>
      <w:marBottom w:val="0"/>
      <w:divBdr>
        <w:top w:val="none" w:sz="0" w:space="0" w:color="auto"/>
        <w:left w:val="none" w:sz="0" w:space="0" w:color="auto"/>
        <w:bottom w:val="none" w:sz="0" w:space="0" w:color="auto"/>
        <w:right w:val="none" w:sz="0" w:space="0" w:color="auto"/>
      </w:divBdr>
    </w:div>
    <w:div w:id="520827524">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29101226">
      <w:bodyDiv w:val="1"/>
      <w:marLeft w:val="0"/>
      <w:marRight w:val="0"/>
      <w:marTop w:val="0"/>
      <w:marBottom w:val="0"/>
      <w:divBdr>
        <w:top w:val="none" w:sz="0" w:space="0" w:color="auto"/>
        <w:left w:val="none" w:sz="0" w:space="0" w:color="auto"/>
        <w:bottom w:val="none" w:sz="0" w:space="0" w:color="auto"/>
        <w:right w:val="none" w:sz="0" w:space="0" w:color="auto"/>
      </w:divBdr>
    </w:div>
    <w:div w:id="53669726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5094458">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5962189">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89187348">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7727927">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7124557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5147089">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1115514">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6628119">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68170846">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5744324">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999162020">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28407625">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39471140">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54743686">
      <w:bodyDiv w:val="1"/>
      <w:marLeft w:val="0"/>
      <w:marRight w:val="0"/>
      <w:marTop w:val="0"/>
      <w:marBottom w:val="0"/>
      <w:divBdr>
        <w:top w:val="none" w:sz="0" w:space="0" w:color="auto"/>
        <w:left w:val="none" w:sz="0" w:space="0" w:color="auto"/>
        <w:bottom w:val="none" w:sz="0" w:space="0" w:color="auto"/>
        <w:right w:val="none" w:sz="0" w:space="0" w:color="auto"/>
      </w:divBdr>
    </w:div>
    <w:div w:id="1068695918">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0933312">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098601242">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30633819">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6187992">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3855355">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29221483">
      <w:bodyDiv w:val="1"/>
      <w:marLeft w:val="0"/>
      <w:marRight w:val="0"/>
      <w:marTop w:val="0"/>
      <w:marBottom w:val="0"/>
      <w:divBdr>
        <w:top w:val="none" w:sz="0" w:space="0" w:color="auto"/>
        <w:left w:val="none" w:sz="0" w:space="0" w:color="auto"/>
        <w:bottom w:val="none" w:sz="0" w:space="0" w:color="auto"/>
        <w:right w:val="none" w:sz="0" w:space="0" w:color="auto"/>
      </w:divBdr>
    </w:div>
    <w:div w:id="1230190963">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1640722">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77100691">
      <w:bodyDiv w:val="1"/>
      <w:marLeft w:val="0"/>
      <w:marRight w:val="0"/>
      <w:marTop w:val="0"/>
      <w:marBottom w:val="0"/>
      <w:divBdr>
        <w:top w:val="none" w:sz="0" w:space="0" w:color="auto"/>
        <w:left w:val="none" w:sz="0" w:space="0" w:color="auto"/>
        <w:bottom w:val="none" w:sz="0" w:space="0" w:color="auto"/>
        <w:right w:val="none" w:sz="0" w:space="0" w:color="auto"/>
      </w:divBdr>
    </w:div>
    <w:div w:id="1278635095">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8554463">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1661750">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825481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5663246">
      <w:bodyDiv w:val="1"/>
      <w:marLeft w:val="0"/>
      <w:marRight w:val="0"/>
      <w:marTop w:val="0"/>
      <w:marBottom w:val="0"/>
      <w:divBdr>
        <w:top w:val="none" w:sz="0" w:space="0" w:color="auto"/>
        <w:left w:val="none" w:sz="0" w:space="0" w:color="auto"/>
        <w:bottom w:val="none" w:sz="0" w:space="0" w:color="auto"/>
        <w:right w:val="none" w:sz="0" w:space="0" w:color="auto"/>
      </w:divBdr>
    </w:div>
    <w:div w:id="1489439355">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5510693">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2569103">
      <w:bodyDiv w:val="1"/>
      <w:marLeft w:val="0"/>
      <w:marRight w:val="0"/>
      <w:marTop w:val="0"/>
      <w:marBottom w:val="0"/>
      <w:divBdr>
        <w:top w:val="none" w:sz="0" w:space="0" w:color="auto"/>
        <w:left w:val="none" w:sz="0" w:space="0" w:color="auto"/>
        <w:bottom w:val="none" w:sz="0" w:space="0" w:color="auto"/>
        <w:right w:val="none" w:sz="0" w:space="0" w:color="auto"/>
      </w:divBdr>
    </w:div>
    <w:div w:id="1557161906">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4512656">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698388598">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1832764">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2245505">
      <w:bodyDiv w:val="1"/>
      <w:marLeft w:val="0"/>
      <w:marRight w:val="0"/>
      <w:marTop w:val="0"/>
      <w:marBottom w:val="0"/>
      <w:divBdr>
        <w:top w:val="none" w:sz="0" w:space="0" w:color="auto"/>
        <w:left w:val="none" w:sz="0" w:space="0" w:color="auto"/>
        <w:bottom w:val="none" w:sz="0" w:space="0" w:color="auto"/>
        <w:right w:val="none" w:sz="0" w:space="0" w:color="auto"/>
      </w:divBdr>
    </w:div>
    <w:div w:id="1793400486">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3150041">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156504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14456063">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3602417">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3261393">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497912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4693972">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06925575">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1676874">
      <w:bodyDiv w:val="1"/>
      <w:marLeft w:val="0"/>
      <w:marRight w:val="0"/>
      <w:marTop w:val="0"/>
      <w:marBottom w:val="0"/>
      <w:divBdr>
        <w:top w:val="none" w:sz="0" w:space="0" w:color="auto"/>
        <w:left w:val="none" w:sz="0" w:space="0" w:color="auto"/>
        <w:bottom w:val="none" w:sz="0" w:space="0" w:color="auto"/>
        <w:right w:val="none" w:sz="0" w:space="0" w:color="auto"/>
      </w:divBdr>
    </w:div>
    <w:div w:id="2123263048">
      <w:bodyDiv w:val="1"/>
      <w:marLeft w:val="0"/>
      <w:marRight w:val="0"/>
      <w:marTop w:val="0"/>
      <w:marBottom w:val="0"/>
      <w:divBdr>
        <w:top w:val="none" w:sz="0" w:space="0" w:color="auto"/>
        <w:left w:val="none" w:sz="0" w:space="0" w:color="auto"/>
        <w:bottom w:val="none" w:sz="0" w:space="0" w:color="auto"/>
        <w:right w:val="none" w:sz="0" w:space="0" w:color="auto"/>
      </w:divBdr>
      <w:divsChild>
        <w:div w:id="209270612">
          <w:marLeft w:val="0"/>
          <w:marRight w:val="0"/>
          <w:marTop w:val="0"/>
          <w:marBottom w:val="0"/>
          <w:divBdr>
            <w:top w:val="none" w:sz="0" w:space="0" w:color="auto"/>
            <w:left w:val="none" w:sz="0" w:space="0" w:color="auto"/>
            <w:bottom w:val="none" w:sz="0" w:space="0" w:color="auto"/>
            <w:right w:val="none" w:sz="0" w:space="0" w:color="auto"/>
          </w:divBdr>
          <w:divsChild>
            <w:div w:id="1820609582">
              <w:marLeft w:val="0"/>
              <w:marRight w:val="0"/>
              <w:marTop w:val="0"/>
              <w:marBottom w:val="0"/>
              <w:divBdr>
                <w:top w:val="none" w:sz="0" w:space="0" w:color="auto"/>
                <w:left w:val="none" w:sz="0" w:space="0" w:color="auto"/>
                <w:bottom w:val="none" w:sz="0" w:space="0" w:color="auto"/>
                <w:right w:val="none" w:sz="0" w:space="0" w:color="auto"/>
              </w:divBdr>
            </w:div>
          </w:divsChild>
        </w:div>
        <w:div w:id="1519736564">
          <w:marLeft w:val="0"/>
          <w:marRight w:val="0"/>
          <w:marTop w:val="0"/>
          <w:marBottom w:val="0"/>
          <w:divBdr>
            <w:top w:val="none" w:sz="0" w:space="0" w:color="auto"/>
            <w:left w:val="none" w:sz="0" w:space="0" w:color="auto"/>
            <w:bottom w:val="none" w:sz="0" w:space="0" w:color="auto"/>
            <w:right w:val="none" w:sz="0" w:space="0" w:color="auto"/>
          </w:divBdr>
          <w:divsChild>
            <w:div w:id="937103373">
              <w:marLeft w:val="0"/>
              <w:marRight w:val="0"/>
              <w:marTop w:val="0"/>
              <w:marBottom w:val="0"/>
              <w:divBdr>
                <w:top w:val="none" w:sz="0" w:space="0" w:color="auto"/>
                <w:left w:val="none" w:sz="0" w:space="0" w:color="auto"/>
                <w:bottom w:val="none" w:sz="0" w:space="0" w:color="auto"/>
                <w:right w:val="none" w:sz="0" w:space="0" w:color="auto"/>
              </w:divBdr>
            </w:div>
          </w:divsChild>
        </w:div>
        <w:div w:id="169757679">
          <w:marLeft w:val="0"/>
          <w:marRight w:val="0"/>
          <w:marTop w:val="0"/>
          <w:marBottom w:val="0"/>
          <w:divBdr>
            <w:top w:val="none" w:sz="0" w:space="0" w:color="auto"/>
            <w:left w:val="none" w:sz="0" w:space="0" w:color="auto"/>
            <w:bottom w:val="none" w:sz="0" w:space="0" w:color="auto"/>
            <w:right w:val="none" w:sz="0" w:space="0" w:color="auto"/>
          </w:divBdr>
          <w:divsChild>
            <w:div w:id="1986622235">
              <w:marLeft w:val="0"/>
              <w:marRight w:val="0"/>
              <w:marTop w:val="0"/>
              <w:marBottom w:val="0"/>
              <w:divBdr>
                <w:top w:val="none" w:sz="0" w:space="0" w:color="auto"/>
                <w:left w:val="none" w:sz="0" w:space="0" w:color="auto"/>
                <w:bottom w:val="none" w:sz="0" w:space="0" w:color="auto"/>
                <w:right w:val="none" w:sz="0" w:space="0" w:color="auto"/>
              </w:divBdr>
            </w:div>
          </w:divsChild>
        </w:div>
        <w:div w:id="1550340312">
          <w:marLeft w:val="0"/>
          <w:marRight w:val="0"/>
          <w:marTop w:val="0"/>
          <w:marBottom w:val="0"/>
          <w:divBdr>
            <w:top w:val="none" w:sz="0" w:space="0" w:color="auto"/>
            <w:left w:val="none" w:sz="0" w:space="0" w:color="auto"/>
            <w:bottom w:val="none" w:sz="0" w:space="0" w:color="auto"/>
            <w:right w:val="none" w:sz="0" w:space="0" w:color="auto"/>
          </w:divBdr>
          <w:divsChild>
            <w:div w:id="1069305070">
              <w:marLeft w:val="0"/>
              <w:marRight w:val="0"/>
              <w:marTop w:val="0"/>
              <w:marBottom w:val="0"/>
              <w:divBdr>
                <w:top w:val="none" w:sz="0" w:space="0" w:color="auto"/>
                <w:left w:val="none" w:sz="0" w:space="0" w:color="auto"/>
                <w:bottom w:val="none" w:sz="0" w:space="0" w:color="auto"/>
                <w:right w:val="none" w:sz="0" w:space="0" w:color="auto"/>
              </w:divBdr>
            </w:div>
          </w:divsChild>
        </w:div>
        <w:div w:id="1381903433">
          <w:marLeft w:val="0"/>
          <w:marRight w:val="0"/>
          <w:marTop w:val="0"/>
          <w:marBottom w:val="0"/>
          <w:divBdr>
            <w:top w:val="none" w:sz="0" w:space="0" w:color="auto"/>
            <w:left w:val="none" w:sz="0" w:space="0" w:color="auto"/>
            <w:bottom w:val="none" w:sz="0" w:space="0" w:color="auto"/>
            <w:right w:val="none" w:sz="0" w:space="0" w:color="auto"/>
          </w:divBdr>
          <w:divsChild>
            <w:div w:id="496727210">
              <w:marLeft w:val="0"/>
              <w:marRight w:val="0"/>
              <w:marTop w:val="0"/>
              <w:marBottom w:val="0"/>
              <w:divBdr>
                <w:top w:val="none" w:sz="0" w:space="0" w:color="auto"/>
                <w:left w:val="none" w:sz="0" w:space="0" w:color="auto"/>
                <w:bottom w:val="none" w:sz="0" w:space="0" w:color="auto"/>
                <w:right w:val="none" w:sz="0" w:space="0" w:color="auto"/>
              </w:divBdr>
            </w:div>
          </w:divsChild>
        </w:div>
        <w:div w:id="299500802">
          <w:marLeft w:val="0"/>
          <w:marRight w:val="0"/>
          <w:marTop w:val="0"/>
          <w:marBottom w:val="0"/>
          <w:divBdr>
            <w:top w:val="none" w:sz="0" w:space="0" w:color="auto"/>
            <w:left w:val="none" w:sz="0" w:space="0" w:color="auto"/>
            <w:bottom w:val="none" w:sz="0" w:space="0" w:color="auto"/>
            <w:right w:val="none" w:sz="0" w:space="0" w:color="auto"/>
          </w:divBdr>
          <w:divsChild>
            <w:div w:id="186259044">
              <w:marLeft w:val="0"/>
              <w:marRight w:val="0"/>
              <w:marTop w:val="0"/>
              <w:marBottom w:val="0"/>
              <w:divBdr>
                <w:top w:val="none" w:sz="0" w:space="0" w:color="auto"/>
                <w:left w:val="none" w:sz="0" w:space="0" w:color="auto"/>
                <w:bottom w:val="none" w:sz="0" w:space="0" w:color="auto"/>
                <w:right w:val="none" w:sz="0" w:space="0" w:color="auto"/>
              </w:divBdr>
            </w:div>
          </w:divsChild>
        </w:div>
        <w:div w:id="195429710">
          <w:marLeft w:val="0"/>
          <w:marRight w:val="0"/>
          <w:marTop w:val="0"/>
          <w:marBottom w:val="0"/>
          <w:divBdr>
            <w:top w:val="none" w:sz="0" w:space="0" w:color="auto"/>
            <w:left w:val="none" w:sz="0" w:space="0" w:color="auto"/>
            <w:bottom w:val="none" w:sz="0" w:space="0" w:color="auto"/>
            <w:right w:val="none" w:sz="0" w:space="0" w:color="auto"/>
          </w:divBdr>
          <w:divsChild>
            <w:div w:id="799759964">
              <w:marLeft w:val="0"/>
              <w:marRight w:val="0"/>
              <w:marTop w:val="0"/>
              <w:marBottom w:val="0"/>
              <w:divBdr>
                <w:top w:val="none" w:sz="0" w:space="0" w:color="auto"/>
                <w:left w:val="none" w:sz="0" w:space="0" w:color="auto"/>
                <w:bottom w:val="none" w:sz="0" w:space="0" w:color="auto"/>
                <w:right w:val="none" w:sz="0" w:space="0" w:color="auto"/>
              </w:divBdr>
            </w:div>
          </w:divsChild>
        </w:div>
        <w:div w:id="85655803">
          <w:marLeft w:val="0"/>
          <w:marRight w:val="0"/>
          <w:marTop w:val="0"/>
          <w:marBottom w:val="0"/>
          <w:divBdr>
            <w:top w:val="none" w:sz="0" w:space="0" w:color="auto"/>
            <w:left w:val="none" w:sz="0" w:space="0" w:color="auto"/>
            <w:bottom w:val="none" w:sz="0" w:space="0" w:color="auto"/>
            <w:right w:val="none" w:sz="0" w:space="0" w:color="auto"/>
          </w:divBdr>
          <w:divsChild>
            <w:div w:id="135609912">
              <w:marLeft w:val="0"/>
              <w:marRight w:val="0"/>
              <w:marTop w:val="0"/>
              <w:marBottom w:val="0"/>
              <w:divBdr>
                <w:top w:val="none" w:sz="0" w:space="0" w:color="auto"/>
                <w:left w:val="none" w:sz="0" w:space="0" w:color="auto"/>
                <w:bottom w:val="none" w:sz="0" w:space="0" w:color="auto"/>
                <w:right w:val="none" w:sz="0" w:space="0" w:color="auto"/>
              </w:divBdr>
            </w:div>
          </w:divsChild>
        </w:div>
        <w:div w:id="1967737336">
          <w:marLeft w:val="0"/>
          <w:marRight w:val="0"/>
          <w:marTop w:val="0"/>
          <w:marBottom w:val="0"/>
          <w:divBdr>
            <w:top w:val="none" w:sz="0" w:space="0" w:color="auto"/>
            <w:left w:val="none" w:sz="0" w:space="0" w:color="auto"/>
            <w:bottom w:val="none" w:sz="0" w:space="0" w:color="auto"/>
            <w:right w:val="none" w:sz="0" w:space="0" w:color="auto"/>
          </w:divBdr>
          <w:divsChild>
            <w:div w:id="493692060">
              <w:marLeft w:val="0"/>
              <w:marRight w:val="0"/>
              <w:marTop w:val="0"/>
              <w:marBottom w:val="0"/>
              <w:divBdr>
                <w:top w:val="none" w:sz="0" w:space="0" w:color="auto"/>
                <w:left w:val="none" w:sz="0" w:space="0" w:color="auto"/>
                <w:bottom w:val="none" w:sz="0" w:space="0" w:color="auto"/>
                <w:right w:val="none" w:sz="0" w:space="0" w:color="auto"/>
              </w:divBdr>
            </w:div>
          </w:divsChild>
        </w:div>
        <w:div w:id="44449373">
          <w:marLeft w:val="0"/>
          <w:marRight w:val="0"/>
          <w:marTop w:val="0"/>
          <w:marBottom w:val="0"/>
          <w:divBdr>
            <w:top w:val="none" w:sz="0" w:space="0" w:color="auto"/>
            <w:left w:val="none" w:sz="0" w:space="0" w:color="auto"/>
            <w:bottom w:val="none" w:sz="0" w:space="0" w:color="auto"/>
            <w:right w:val="none" w:sz="0" w:space="0" w:color="auto"/>
          </w:divBdr>
          <w:divsChild>
            <w:div w:id="1613440473">
              <w:marLeft w:val="0"/>
              <w:marRight w:val="0"/>
              <w:marTop w:val="0"/>
              <w:marBottom w:val="0"/>
              <w:divBdr>
                <w:top w:val="none" w:sz="0" w:space="0" w:color="auto"/>
                <w:left w:val="none" w:sz="0" w:space="0" w:color="auto"/>
                <w:bottom w:val="none" w:sz="0" w:space="0" w:color="auto"/>
                <w:right w:val="none" w:sz="0" w:space="0" w:color="auto"/>
              </w:divBdr>
            </w:div>
          </w:divsChild>
        </w:div>
        <w:div w:id="2074115613">
          <w:marLeft w:val="0"/>
          <w:marRight w:val="0"/>
          <w:marTop w:val="0"/>
          <w:marBottom w:val="0"/>
          <w:divBdr>
            <w:top w:val="none" w:sz="0" w:space="0" w:color="auto"/>
            <w:left w:val="none" w:sz="0" w:space="0" w:color="auto"/>
            <w:bottom w:val="none" w:sz="0" w:space="0" w:color="auto"/>
            <w:right w:val="none" w:sz="0" w:space="0" w:color="auto"/>
          </w:divBdr>
          <w:divsChild>
            <w:div w:id="433332900">
              <w:marLeft w:val="0"/>
              <w:marRight w:val="0"/>
              <w:marTop w:val="0"/>
              <w:marBottom w:val="0"/>
              <w:divBdr>
                <w:top w:val="none" w:sz="0" w:space="0" w:color="auto"/>
                <w:left w:val="none" w:sz="0" w:space="0" w:color="auto"/>
                <w:bottom w:val="none" w:sz="0" w:space="0" w:color="auto"/>
                <w:right w:val="none" w:sz="0" w:space="0" w:color="auto"/>
              </w:divBdr>
            </w:div>
          </w:divsChild>
        </w:div>
        <w:div w:id="1247808164">
          <w:marLeft w:val="0"/>
          <w:marRight w:val="0"/>
          <w:marTop w:val="0"/>
          <w:marBottom w:val="0"/>
          <w:divBdr>
            <w:top w:val="none" w:sz="0" w:space="0" w:color="auto"/>
            <w:left w:val="none" w:sz="0" w:space="0" w:color="auto"/>
            <w:bottom w:val="none" w:sz="0" w:space="0" w:color="auto"/>
            <w:right w:val="none" w:sz="0" w:space="0" w:color="auto"/>
          </w:divBdr>
          <w:divsChild>
            <w:div w:id="1590041617">
              <w:marLeft w:val="0"/>
              <w:marRight w:val="0"/>
              <w:marTop w:val="0"/>
              <w:marBottom w:val="0"/>
              <w:divBdr>
                <w:top w:val="none" w:sz="0" w:space="0" w:color="auto"/>
                <w:left w:val="none" w:sz="0" w:space="0" w:color="auto"/>
                <w:bottom w:val="none" w:sz="0" w:space="0" w:color="auto"/>
                <w:right w:val="none" w:sz="0" w:space="0" w:color="auto"/>
              </w:divBdr>
            </w:div>
          </w:divsChild>
        </w:div>
        <w:div w:id="151407226">
          <w:marLeft w:val="0"/>
          <w:marRight w:val="0"/>
          <w:marTop w:val="0"/>
          <w:marBottom w:val="0"/>
          <w:divBdr>
            <w:top w:val="none" w:sz="0" w:space="0" w:color="auto"/>
            <w:left w:val="none" w:sz="0" w:space="0" w:color="auto"/>
            <w:bottom w:val="none" w:sz="0" w:space="0" w:color="auto"/>
            <w:right w:val="none" w:sz="0" w:space="0" w:color="auto"/>
          </w:divBdr>
          <w:divsChild>
            <w:div w:id="1141271486">
              <w:marLeft w:val="0"/>
              <w:marRight w:val="0"/>
              <w:marTop w:val="0"/>
              <w:marBottom w:val="0"/>
              <w:divBdr>
                <w:top w:val="none" w:sz="0" w:space="0" w:color="auto"/>
                <w:left w:val="none" w:sz="0" w:space="0" w:color="auto"/>
                <w:bottom w:val="none" w:sz="0" w:space="0" w:color="auto"/>
                <w:right w:val="none" w:sz="0" w:space="0" w:color="auto"/>
              </w:divBdr>
            </w:div>
          </w:divsChild>
        </w:div>
        <w:div w:id="1966080278">
          <w:marLeft w:val="0"/>
          <w:marRight w:val="0"/>
          <w:marTop w:val="0"/>
          <w:marBottom w:val="0"/>
          <w:divBdr>
            <w:top w:val="none" w:sz="0" w:space="0" w:color="auto"/>
            <w:left w:val="none" w:sz="0" w:space="0" w:color="auto"/>
            <w:bottom w:val="none" w:sz="0" w:space="0" w:color="auto"/>
            <w:right w:val="none" w:sz="0" w:space="0" w:color="auto"/>
          </w:divBdr>
          <w:divsChild>
            <w:div w:id="1439985585">
              <w:marLeft w:val="0"/>
              <w:marRight w:val="0"/>
              <w:marTop w:val="0"/>
              <w:marBottom w:val="0"/>
              <w:divBdr>
                <w:top w:val="none" w:sz="0" w:space="0" w:color="auto"/>
                <w:left w:val="none" w:sz="0" w:space="0" w:color="auto"/>
                <w:bottom w:val="none" w:sz="0" w:space="0" w:color="auto"/>
                <w:right w:val="none" w:sz="0" w:space="0" w:color="auto"/>
              </w:divBdr>
            </w:div>
          </w:divsChild>
        </w:div>
        <w:div w:id="2065980600">
          <w:marLeft w:val="0"/>
          <w:marRight w:val="0"/>
          <w:marTop w:val="0"/>
          <w:marBottom w:val="0"/>
          <w:divBdr>
            <w:top w:val="none" w:sz="0" w:space="0" w:color="auto"/>
            <w:left w:val="none" w:sz="0" w:space="0" w:color="auto"/>
            <w:bottom w:val="none" w:sz="0" w:space="0" w:color="auto"/>
            <w:right w:val="none" w:sz="0" w:space="0" w:color="auto"/>
          </w:divBdr>
          <w:divsChild>
            <w:div w:id="1015039658">
              <w:marLeft w:val="0"/>
              <w:marRight w:val="0"/>
              <w:marTop w:val="0"/>
              <w:marBottom w:val="0"/>
              <w:divBdr>
                <w:top w:val="none" w:sz="0" w:space="0" w:color="auto"/>
                <w:left w:val="none" w:sz="0" w:space="0" w:color="auto"/>
                <w:bottom w:val="none" w:sz="0" w:space="0" w:color="auto"/>
                <w:right w:val="none" w:sz="0" w:space="0" w:color="auto"/>
              </w:divBdr>
            </w:div>
          </w:divsChild>
        </w:div>
        <w:div w:id="1284733007">
          <w:marLeft w:val="0"/>
          <w:marRight w:val="0"/>
          <w:marTop w:val="0"/>
          <w:marBottom w:val="0"/>
          <w:divBdr>
            <w:top w:val="none" w:sz="0" w:space="0" w:color="auto"/>
            <w:left w:val="none" w:sz="0" w:space="0" w:color="auto"/>
            <w:bottom w:val="none" w:sz="0" w:space="0" w:color="auto"/>
            <w:right w:val="none" w:sz="0" w:space="0" w:color="auto"/>
          </w:divBdr>
          <w:divsChild>
            <w:div w:id="315695308">
              <w:marLeft w:val="0"/>
              <w:marRight w:val="0"/>
              <w:marTop w:val="0"/>
              <w:marBottom w:val="0"/>
              <w:divBdr>
                <w:top w:val="none" w:sz="0" w:space="0" w:color="auto"/>
                <w:left w:val="none" w:sz="0" w:space="0" w:color="auto"/>
                <w:bottom w:val="none" w:sz="0" w:space="0" w:color="auto"/>
                <w:right w:val="none" w:sz="0" w:space="0" w:color="auto"/>
              </w:divBdr>
            </w:div>
          </w:divsChild>
        </w:div>
        <w:div w:id="866330843">
          <w:marLeft w:val="0"/>
          <w:marRight w:val="0"/>
          <w:marTop w:val="0"/>
          <w:marBottom w:val="0"/>
          <w:divBdr>
            <w:top w:val="none" w:sz="0" w:space="0" w:color="auto"/>
            <w:left w:val="none" w:sz="0" w:space="0" w:color="auto"/>
            <w:bottom w:val="none" w:sz="0" w:space="0" w:color="auto"/>
            <w:right w:val="none" w:sz="0" w:space="0" w:color="auto"/>
          </w:divBdr>
          <w:divsChild>
            <w:div w:id="426922381">
              <w:marLeft w:val="0"/>
              <w:marRight w:val="0"/>
              <w:marTop w:val="0"/>
              <w:marBottom w:val="0"/>
              <w:divBdr>
                <w:top w:val="none" w:sz="0" w:space="0" w:color="auto"/>
                <w:left w:val="none" w:sz="0" w:space="0" w:color="auto"/>
                <w:bottom w:val="none" w:sz="0" w:space="0" w:color="auto"/>
                <w:right w:val="none" w:sz="0" w:space="0" w:color="auto"/>
              </w:divBdr>
            </w:div>
          </w:divsChild>
        </w:div>
        <w:div w:id="1798601509">
          <w:marLeft w:val="0"/>
          <w:marRight w:val="0"/>
          <w:marTop w:val="0"/>
          <w:marBottom w:val="0"/>
          <w:divBdr>
            <w:top w:val="none" w:sz="0" w:space="0" w:color="auto"/>
            <w:left w:val="none" w:sz="0" w:space="0" w:color="auto"/>
            <w:bottom w:val="none" w:sz="0" w:space="0" w:color="auto"/>
            <w:right w:val="none" w:sz="0" w:space="0" w:color="auto"/>
          </w:divBdr>
          <w:divsChild>
            <w:div w:id="1808936032">
              <w:marLeft w:val="0"/>
              <w:marRight w:val="0"/>
              <w:marTop w:val="0"/>
              <w:marBottom w:val="0"/>
              <w:divBdr>
                <w:top w:val="none" w:sz="0" w:space="0" w:color="auto"/>
                <w:left w:val="none" w:sz="0" w:space="0" w:color="auto"/>
                <w:bottom w:val="none" w:sz="0" w:space="0" w:color="auto"/>
                <w:right w:val="none" w:sz="0" w:space="0" w:color="auto"/>
              </w:divBdr>
            </w:div>
          </w:divsChild>
        </w:div>
        <w:div w:id="648680001">
          <w:marLeft w:val="0"/>
          <w:marRight w:val="0"/>
          <w:marTop w:val="0"/>
          <w:marBottom w:val="0"/>
          <w:divBdr>
            <w:top w:val="none" w:sz="0" w:space="0" w:color="auto"/>
            <w:left w:val="none" w:sz="0" w:space="0" w:color="auto"/>
            <w:bottom w:val="none" w:sz="0" w:space="0" w:color="auto"/>
            <w:right w:val="none" w:sz="0" w:space="0" w:color="auto"/>
          </w:divBdr>
          <w:divsChild>
            <w:div w:id="1563364137">
              <w:marLeft w:val="0"/>
              <w:marRight w:val="0"/>
              <w:marTop w:val="0"/>
              <w:marBottom w:val="0"/>
              <w:divBdr>
                <w:top w:val="none" w:sz="0" w:space="0" w:color="auto"/>
                <w:left w:val="none" w:sz="0" w:space="0" w:color="auto"/>
                <w:bottom w:val="none" w:sz="0" w:space="0" w:color="auto"/>
                <w:right w:val="none" w:sz="0" w:space="0" w:color="auto"/>
              </w:divBdr>
            </w:div>
          </w:divsChild>
        </w:div>
        <w:div w:id="214439077">
          <w:marLeft w:val="0"/>
          <w:marRight w:val="0"/>
          <w:marTop w:val="0"/>
          <w:marBottom w:val="0"/>
          <w:divBdr>
            <w:top w:val="none" w:sz="0" w:space="0" w:color="auto"/>
            <w:left w:val="none" w:sz="0" w:space="0" w:color="auto"/>
            <w:bottom w:val="none" w:sz="0" w:space="0" w:color="auto"/>
            <w:right w:val="none" w:sz="0" w:space="0" w:color="auto"/>
          </w:divBdr>
          <w:divsChild>
            <w:div w:id="1584534620">
              <w:marLeft w:val="0"/>
              <w:marRight w:val="0"/>
              <w:marTop w:val="0"/>
              <w:marBottom w:val="0"/>
              <w:divBdr>
                <w:top w:val="none" w:sz="0" w:space="0" w:color="auto"/>
                <w:left w:val="none" w:sz="0" w:space="0" w:color="auto"/>
                <w:bottom w:val="none" w:sz="0" w:space="0" w:color="auto"/>
                <w:right w:val="none" w:sz="0" w:space="0" w:color="auto"/>
              </w:divBdr>
            </w:div>
          </w:divsChild>
        </w:div>
        <w:div w:id="813526866">
          <w:marLeft w:val="0"/>
          <w:marRight w:val="0"/>
          <w:marTop w:val="0"/>
          <w:marBottom w:val="0"/>
          <w:divBdr>
            <w:top w:val="none" w:sz="0" w:space="0" w:color="auto"/>
            <w:left w:val="none" w:sz="0" w:space="0" w:color="auto"/>
            <w:bottom w:val="none" w:sz="0" w:space="0" w:color="auto"/>
            <w:right w:val="none" w:sz="0" w:space="0" w:color="auto"/>
          </w:divBdr>
          <w:divsChild>
            <w:div w:id="198471699">
              <w:marLeft w:val="0"/>
              <w:marRight w:val="0"/>
              <w:marTop w:val="0"/>
              <w:marBottom w:val="0"/>
              <w:divBdr>
                <w:top w:val="none" w:sz="0" w:space="0" w:color="auto"/>
                <w:left w:val="none" w:sz="0" w:space="0" w:color="auto"/>
                <w:bottom w:val="none" w:sz="0" w:space="0" w:color="auto"/>
                <w:right w:val="none" w:sz="0" w:space="0" w:color="auto"/>
              </w:divBdr>
            </w:div>
          </w:divsChild>
        </w:div>
        <w:div w:id="231503480">
          <w:marLeft w:val="0"/>
          <w:marRight w:val="0"/>
          <w:marTop w:val="0"/>
          <w:marBottom w:val="0"/>
          <w:divBdr>
            <w:top w:val="none" w:sz="0" w:space="0" w:color="auto"/>
            <w:left w:val="none" w:sz="0" w:space="0" w:color="auto"/>
            <w:bottom w:val="none" w:sz="0" w:space="0" w:color="auto"/>
            <w:right w:val="none" w:sz="0" w:space="0" w:color="auto"/>
          </w:divBdr>
          <w:divsChild>
            <w:div w:id="1375154984">
              <w:marLeft w:val="0"/>
              <w:marRight w:val="0"/>
              <w:marTop w:val="0"/>
              <w:marBottom w:val="0"/>
              <w:divBdr>
                <w:top w:val="none" w:sz="0" w:space="0" w:color="auto"/>
                <w:left w:val="none" w:sz="0" w:space="0" w:color="auto"/>
                <w:bottom w:val="none" w:sz="0" w:space="0" w:color="auto"/>
                <w:right w:val="none" w:sz="0" w:space="0" w:color="auto"/>
              </w:divBdr>
            </w:div>
          </w:divsChild>
        </w:div>
        <w:div w:id="945576997">
          <w:marLeft w:val="0"/>
          <w:marRight w:val="0"/>
          <w:marTop w:val="0"/>
          <w:marBottom w:val="0"/>
          <w:divBdr>
            <w:top w:val="none" w:sz="0" w:space="0" w:color="auto"/>
            <w:left w:val="none" w:sz="0" w:space="0" w:color="auto"/>
            <w:bottom w:val="none" w:sz="0" w:space="0" w:color="auto"/>
            <w:right w:val="none" w:sz="0" w:space="0" w:color="auto"/>
          </w:divBdr>
          <w:divsChild>
            <w:div w:id="334309794">
              <w:marLeft w:val="0"/>
              <w:marRight w:val="0"/>
              <w:marTop w:val="0"/>
              <w:marBottom w:val="0"/>
              <w:divBdr>
                <w:top w:val="none" w:sz="0" w:space="0" w:color="auto"/>
                <w:left w:val="none" w:sz="0" w:space="0" w:color="auto"/>
                <w:bottom w:val="none" w:sz="0" w:space="0" w:color="auto"/>
                <w:right w:val="none" w:sz="0" w:space="0" w:color="auto"/>
              </w:divBdr>
            </w:div>
          </w:divsChild>
        </w:div>
        <w:div w:id="1573126706">
          <w:marLeft w:val="0"/>
          <w:marRight w:val="0"/>
          <w:marTop w:val="0"/>
          <w:marBottom w:val="0"/>
          <w:divBdr>
            <w:top w:val="none" w:sz="0" w:space="0" w:color="auto"/>
            <w:left w:val="none" w:sz="0" w:space="0" w:color="auto"/>
            <w:bottom w:val="none" w:sz="0" w:space="0" w:color="auto"/>
            <w:right w:val="none" w:sz="0" w:space="0" w:color="auto"/>
          </w:divBdr>
          <w:divsChild>
            <w:div w:id="434718504">
              <w:marLeft w:val="0"/>
              <w:marRight w:val="0"/>
              <w:marTop w:val="0"/>
              <w:marBottom w:val="0"/>
              <w:divBdr>
                <w:top w:val="none" w:sz="0" w:space="0" w:color="auto"/>
                <w:left w:val="none" w:sz="0" w:space="0" w:color="auto"/>
                <w:bottom w:val="none" w:sz="0" w:space="0" w:color="auto"/>
                <w:right w:val="none" w:sz="0" w:space="0" w:color="auto"/>
              </w:divBdr>
            </w:div>
          </w:divsChild>
        </w:div>
        <w:div w:id="87384612">
          <w:marLeft w:val="0"/>
          <w:marRight w:val="0"/>
          <w:marTop w:val="0"/>
          <w:marBottom w:val="0"/>
          <w:divBdr>
            <w:top w:val="none" w:sz="0" w:space="0" w:color="auto"/>
            <w:left w:val="none" w:sz="0" w:space="0" w:color="auto"/>
            <w:bottom w:val="none" w:sz="0" w:space="0" w:color="auto"/>
            <w:right w:val="none" w:sz="0" w:space="0" w:color="auto"/>
          </w:divBdr>
          <w:divsChild>
            <w:div w:id="924993501">
              <w:marLeft w:val="0"/>
              <w:marRight w:val="0"/>
              <w:marTop w:val="0"/>
              <w:marBottom w:val="0"/>
              <w:divBdr>
                <w:top w:val="none" w:sz="0" w:space="0" w:color="auto"/>
                <w:left w:val="none" w:sz="0" w:space="0" w:color="auto"/>
                <w:bottom w:val="none" w:sz="0" w:space="0" w:color="auto"/>
                <w:right w:val="none" w:sz="0" w:space="0" w:color="auto"/>
              </w:divBdr>
            </w:div>
          </w:divsChild>
        </w:div>
        <w:div w:id="1385641882">
          <w:marLeft w:val="0"/>
          <w:marRight w:val="0"/>
          <w:marTop w:val="0"/>
          <w:marBottom w:val="0"/>
          <w:divBdr>
            <w:top w:val="none" w:sz="0" w:space="0" w:color="auto"/>
            <w:left w:val="none" w:sz="0" w:space="0" w:color="auto"/>
            <w:bottom w:val="none" w:sz="0" w:space="0" w:color="auto"/>
            <w:right w:val="none" w:sz="0" w:space="0" w:color="auto"/>
          </w:divBdr>
          <w:divsChild>
            <w:div w:id="598177415">
              <w:marLeft w:val="0"/>
              <w:marRight w:val="0"/>
              <w:marTop w:val="0"/>
              <w:marBottom w:val="0"/>
              <w:divBdr>
                <w:top w:val="none" w:sz="0" w:space="0" w:color="auto"/>
                <w:left w:val="none" w:sz="0" w:space="0" w:color="auto"/>
                <w:bottom w:val="none" w:sz="0" w:space="0" w:color="auto"/>
                <w:right w:val="none" w:sz="0" w:space="0" w:color="auto"/>
              </w:divBdr>
            </w:div>
          </w:divsChild>
        </w:div>
        <w:div w:id="622079512">
          <w:marLeft w:val="0"/>
          <w:marRight w:val="0"/>
          <w:marTop w:val="0"/>
          <w:marBottom w:val="0"/>
          <w:divBdr>
            <w:top w:val="none" w:sz="0" w:space="0" w:color="auto"/>
            <w:left w:val="none" w:sz="0" w:space="0" w:color="auto"/>
            <w:bottom w:val="none" w:sz="0" w:space="0" w:color="auto"/>
            <w:right w:val="none" w:sz="0" w:space="0" w:color="auto"/>
          </w:divBdr>
          <w:divsChild>
            <w:div w:id="564220054">
              <w:marLeft w:val="0"/>
              <w:marRight w:val="0"/>
              <w:marTop w:val="0"/>
              <w:marBottom w:val="0"/>
              <w:divBdr>
                <w:top w:val="none" w:sz="0" w:space="0" w:color="auto"/>
                <w:left w:val="none" w:sz="0" w:space="0" w:color="auto"/>
                <w:bottom w:val="none" w:sz="0" w:space="0" w:color="auto"/>
                <w:right w:val="none" w:sz="0" w:space="0" w:color="auto"/>
              </w:divBdr>
            </w:div>
          </w:divsChild>
        </w:div>
        <w:div w:id="1624337576">
          <w:marLeft w:val="0"/>
          <w:marRight w:val="0"/>
          <w:marTop w:val="0"/>
          <w:marBottom w:val="0"/>
          <w:divBdr>
            <w:top w:val="none" w:sz="0" w:space="0" w:color="auto"/>
            <w:left w:val="none" w:sz="0" w:space="0" w:color="auto"/>
            <w:bottom w:val="none" w:sz="0" w:space="0" w:color="auto"/>
            <w:right w:val="none" w:sz="0" w:space="0" w:color="auto"/>
          </w:divBdr>
          <w:divsChild>
            <w:div w:id="1495606454">
              <w:marLeft w:val="0"/>
              <w:marRight w:val="0"/>
              <w:marTop w:val="0"/>
              <w:marBottom w:val="0"/>
              <w:divBdr>
                <w:top w:val="none" w:sz="0" w:space="0" w:color="auto"/>
                <w:left w:val="none" w:sz="0" w:space="0" w:color="auto"/>
                <w:bottom w:val="none" w:sz="0" w:space="0" w:color="auto"/>
                <w:right w:val="none" w:sz="0" w:space="0" w:color="auto"/>
              </w:divBdr>
            </w:div>
          </w:divsChild>
        </w:div>
        <w:div w:id="1760634132">
          <w:marLeft w:val="0"/>
          <w:marRight w:val="0"/>
          <w:marTop w:val="0"/>
          <w:marBottom w:val="0"/>
          <w:divBdr>
            <w:top w:val="none" w:sz="0" w:space="0" w:color="auto"/>
            <w:left w:val="none" w:sz="0" w:space="0" w:color="auto"/>
            <w:bottom w:val="none" w:sz="0" w:space="0" w:color="auto"/>
            <w:right w:val="none" w:sz="0" w:space="0" w:color="auto"/>
          </w:divBdr>
          <w:divsChild>
            <w:div w:id="228224080">
              <w:marLeft w:val="0"/>
              <w:marRight w:val="0"/>
              <w:marTop w:val="0"/>
              <w:marBottom w:val="0"/>
              <w:divBdr>
                <w:top w:val="none" w:sz="0" w:space="0" w:color="auto"/>
                <w:left w:val="none" w:sz="0" w:space="0" w:color="auto"/>
                <w:bottom w:val="none" w:sz="0" w:space="0" w:color="auto"/>
                <w:right w:val="none" w:sz="0" w:space="0" w:color="auto"/>
              </w:divBdr>
            </w:div>
          </w:divsChild>
        </w:div>
        <w:div w:id="121387138">
          <w:marLeft w:val="0"/>
          <w:marRight w:val="0"/>
          <w:marTop w:val="0"/>
          <w:marBottom w:val="0"/>
          <w:divBdr>
            <w:top w:val="none" w:sz="0" w:space="0" w:color="auto"/>
            <w:left w:val="none" w:sz="0" w:space="0" w:color="auto"/>
            <w:bottom w:val="none" w:sz="0" w:space="0" w:color="auto"/>
            <w:right w:val="none" w:sz="0" w:space="0" w:color="auto"/>
          </w:divBdr>
          <w:divsChild>
            <w:div w:id="247934472">
              <w:marLeft w:val="0"/>
              <w:marRight w:val="0"/>
              <w:marTop w:val="0"/>
              <w:marBottom w:val="0"/>
              <w:divBdr>
                <w:top w:val="none" w:sz="0" w:space="0" w:color="auto"/>
                <w:left w:val="none" w:sz="0" w:space="0" w:color="auto"/>
                <w:bottom w:val="none" w:sz="0" w:space="0" w:color="auto"/>
                <w:right w:val="none" w:sz="0" w:space="0" w:color="auto"/>
              </w:divBdr>
            </w:div>
          </w:divsChild>
        </w:div>
        <w:div w:id="1732653877">
          <w:marLeft w:val="0"/>
          <w:marRight w:val="0"/>
          <w:marTop w:val="0"/>
          <w:marBottom w:val="0"/>
          <w:divBdr>
            <w:top w:val="none" w:sz="0" w:space="0" w:color="auto"/>
            <w:left w:val="none" w:sz="0" w:space="0" w:color="auto"/>
            <w:bottom w:val="none" w:sz="0" w:space="0" w:color="auto"/>
            <w:right w:val="none" w:sz="0" w:space="0" w:color="auto"/>
          </w:divBdr>
          <w:divsChild>
            <w:div w:id="1816798243">
              <w:marLeft w:val="0"/>
              <w:marRight w:val="0"/>
              <w:marTop w:val="0"/>
              <w:marBottom w:val="0"/>
              <w:divBdr>
                <w:top w:val="none" w:sz="0" w:space="0" w:color="auto"/>
                <w:left w:val="none" w:sz="0" w:space="0" w:color="auto"/>
                <w:bottom w:val="none" w:sz="0" w:space="0" w:color="auto"/>
                <w:right w:val="none" w:sz="0" w:space="0" w:color="auto"/>
              </w:divBdr>
            </w:div>
          </w:divsChild>
        </w:div>
        <w:div w:id="745110414">
          <w:marLeft w:val="0"/>
          <w:marRight w:val="0"/>
          <w:marTop w:val="0"/>
          <w:marBottom w:val="0"/>
          <w:divBdr>
            <w:top w:val="none" w:sz="0" w:space="0" w:color="auto"/>
            <w:left w:val="none" w:sz="0" w:space="0" w:color="auto"/>
            <w:bottom w:val="none" w:sz="0" w:space="0" w:color="auto"/>
            <w:right w:val="none" w:sz="0" w:space="0" w:color="auto"/>
          </w:divBdr>
          <w:divsChild>
            <w:div w:id="207887647">
              <w:marLeft w:val="0"/>
              <w:marRight w:val="0"/>
              <w:marTop w:val="0"/>
              <w:marBottom w:val="0"/>
              <w:divBdr>
                <w:top w:val="none" w:sz="0" w:space="0" w:color="auto"/>
                <w:left w:val="none" w:sz="0" w:space="0" w:color="auto"/>
                <w:bottom w:val="none" w:sz="0" w:space="0" w:color="auto"/>
                <w:right w:val="none" w:sz="0" w:space="0" w:color="auto"/>
              </w:divBdr>
            </w:div>
          </w:divsChild>
        </w:div>
        <w:div w:id="1136946610">
          <w:marLeft w:val="0"/>
          <w:marRight w:val="0"/>
          <w:marTop w:val="0"/>
          <w:marBottom w:val="0"/>
          <w:divBdr>
            <w:top w:val="none" w:sz="0" w:space="0" w:color="auto"/>
            <w:left w:val="none" w:sz="0" w:space="0" w:color="auto"/>
            <w:bottom w:val="none" w:sz="0" w:space="0" w:color="auto"/>
            <w:right w:val="none" w:sz="0" w:space="0" w:color="auto"/>
          </w:divBdr>
          <w:divsChild>
            <w:div w:id="737561100">
              <w:marLeft w:val="0"/>
              <w:marRight w:val="0"/>
              <w:marTop w:val="0"/>
              <w:marBottom w:val="0"/>
              <w:divBdr>
                <w:top w:val="none" w:sz="0" w:space="0" w:color="auto"/>
                <w:left w:val="none" w:sz="0" w:space="0" w:color="auto"/>
                <w:bottom w:val="none" w:sz="0" w:space="0" w:color="auto"/>
                <w:right w:val="none" w:sz="0" w:space="0" w:color="auto"/>
              </w:divBdr>
            </w:div>
          </w:divsChild>
        </w:div>
        <w:div w:id="487332024">
          <w:marLeft w:val="0"/>
          <w:marRight w:val="0"/>
          <w:marTop w:val="0"/>
          <w:marBottom w:val="0"/>
          <w:divBdr>
            <w:top w:val="none" w:sz="0" w:space="0" w:color="auto"/>
            <w:left w:val="none" w:sz="0" w:space="0" w:color="auto"/>
            <w:bottom w:val="none" w:sz="0" w:space="0" w:color="auto"/>
            <w:right w:val="none" w:sz="0" w:space="0" w:color="auto"/>
          </w:divBdr>
          <w:divsChild>
            <w:div w:id="1958171021">
              <w:marLeft w:val="0"/>
              <w:marRight w:val="0"/>
              <w:marTop w:val="0"/>
              <w:marBottom w:val="0"/>
              <w:divBdr>
                <w:top w:val="none" w:sz="0" w:space="0" w:color="auto"/>
                <w:left w:val="none" w:sz="0" w:space="0" w:color="auto"/>
                <w:bottom w:val="none" w:sz="0" w:space="0" w:color="auto"/>
                <w:right w:val="none" w:sz="0" w:space="0" w:color="auto"/>
              </w:divBdr>
            </w:div>
          </w:divsChild>
        </w:div>
        <w:div w:id="521935781">
          <w:marLeft w:val="0"/>
          <w:marRight w:val="0"/>
          <w:marTop w:val="0"/>
          <w:marBottom w:val="0"/>
          <w:divBdr>
            <w:top w:val="none" w:sz="0" w:space="0" w:color="auto"/>
            <w:left w:val="none" w:sz="0" w:space="0" w:color="auto"/>
            <w:bottom w:val="none" w:sz="0" w:space="0" w:color="auto"/>
            <w:right w:val="none" w:sz="0" w:space="0" w:color="auto"/>
          </w:divBdr>
          <w:divsChild>
            <w:div w:id="1493713031">
              <w:marLeft w:val="0"/>
              <w:marRight w:val="0"/>
              <w:marTop w:val="0"/>
              <w:marBottom w:val="0"/>
              <w:divBdr>
                <w:top w:val="none" w:sz="0" w:space="0" w:color="auto"/>
                <w:left w:val="none" w:sz="0" w:space="0" w:color="auto"/>
                <w:bottom w:val="none" w:sz="0" w:space="0" w:color="auto"/>
                <w:right w:val="none" w:sz="0" w:space="0" w:color="auto"/>
              </w:divBdr>
            </w:div>
          </w:divsChild>
        </w:div>
        <w:div w:id="1203981572">
          <w:marLeft w:val="0"/>
          <w:marRight w:val="0"/>
          <w:marTop w:val="0"/>
          <w:marBottom w:val="0"/>
          <w:divBdr>
            <w:top w:val="none" w:sz="0" w:space="0" w:color="auto"/>
            <w:left w:val="none" w:sz="0" w:space="0" w:color="auto"/>
            <w:bottom w:val="none" w:sz="0" w:space="0" w:color="auto"/>
            <w:right w:val="none" w:sz="0" w:space="0" w:color="auto"/>
          </w:divBdr>
          <w:divsChild>
            <w:div w:id="283268140">
              <w:marLeft w:val="0"/>
              <w:marRight w:val="0"/>
              <w:marTop w:val="0"/>
              <w:marBottom w:val="0"/>
              <w:divBdr>
                <w:top w:val="none" w:sz="0" w:space="0" w:color="auto"/>
                <w:left w:val="none" w:sz="0" w:space="0" w:color="auto"/>
                <w:bottom w:val="none" w:sz="0" w:space="0" w:color="auto"/>
                <w:right w:val="none" w:sz="0" w:space="0" w:color="auto"/>
              </w:divBdr>
            </w:div>
          </w:divsChild>
        </w:div>
        <w:div w:id="603851209">
          <w:marLeft w:val="0"/>
          <w:marRight w:val="0"/>
          <w:marTop w:val="0"/>
          <w:marBottom w:val="0"/>
          <w:divBdr>
            <w:top w:val="none" w:sz="0" w:space="0" w:color="auto"/>
            <w:left w:val="none" w:sz="0" w:space="0" w:color="auto"/>
            <w:bottom w:val="none" w:sz="0" w:space="0" w:color="auto"/>
            <w:right w:val="none" w:sz="0" w:space="0" w:color="auto"/>
          </w:divBdr>
          <w:divsChild>
            <w:div w:id="973020823">
              <w:marLeft w:val="0"/>
              <w:marRight w:val="0"/>
              <w:marTop w:val="0"/>
              <w:marBottom w:val="0"/>
              <w:divBdr>
                <w:top w:val="none" w:sz="0" w:space="0" w:color="auto"/>
                <w:left w:val="none" w:sz="0" w:space="0" w:color="auto"/>
                <w:bottom w:val="none" w:sz="0" w:space="0" w:color="auto"/>
                <w:right w:val="none" w:sz="0" w:space="0" w:color="auto"/>
              </w:divBdr>
            </w:div>
          </w:divsChild>
        </w:div>
        <w:div w:id="596250886">
          <w:marLeft w:val="0"/>
          <w:marRight w:val="0"/>
          <w:marTop w:val="0"/>
          <w:marBottom w:val="0"/>
          <w:divBdr>
            <w:top w:val="none" w:sz="0" w:space="0" w:color="auto"/>
            <w:left w:val="none" w:sz="0" w:space="0" w:color="auto"/>
            <w:bottom w:val="none" w:sz="0" w:space="0" w:color="auto"/>
            <w:right w:val="none" w:sz="0" w:space="0" w:color="auto"/>
          </w:divBdr>
          <w:divsChild>
            <w:div w:id="1588660269">
              <w:marLeft w:val="0"/>
              <w:marRight w:val="0"/>
              <w:marTop w:val="0"/>
              <w:marBottom w:val="0"/>
              <w:divBdr>
                <w:top w:val="none" w:sz="0" w:space="0" w:color="auto"/>
                <w:left w:val="none" w:sz="0" w:space="0" w:color="auto"/>
                <w:bottom w:val="none" w:sz="0" w:space="0" w:color="auto"/>
                <w:right w:val="none" w:sz="0" w:space="0" w:color="auto"/>
              </w:divBdr>
            </w:div>
          </w:divsChild>
        </w:div>
        <w:div w:id="1237326201">
          <w:marLeft w:val="0"/>
          <w:marRight w:val="0"/>
          <w:marTop w:val="0"/>
          <w:marBottom w:val="0"/>
          <w:divBdr>
            <w:top w:val="none" w:sz="0" w:space="0" w:color="auto"/>
            <w:left w:val="none" w:sz="0" w:space="0" w:color="auto"/>
            <w:bottom w:val="none" w:sz="0" w:space="0" w:color="auto"/>
            <w:right w:val="none" w:sz="0" w:space="0" w:color="auto"/>
          </w:divBdr>
          <w:divsChild>
            <w:div w:id="687684427">
              <w:marLeft w:val="0"/>
              <w:marRight w:val="0"/>
              <w:marTop w:val="0"/>
              <w:marBottom w:val="0"/>
              <w:divBdr>
                <w:top w:val="none" w:sz="0" w:space="0" w:color="auto"/>
                <w:left w:val="none" w:sz="0" w:space="0" w:color="auto"/>
                <w:bottom w:val="none" w:sz="0" w:space="0" w:color="auto"/>
                <w:right w:val="none" w:sz="0" w:space="0" w:color="auto"/>
              </w:divBdr>
            </w:div>
          </w:divsChild>
        </w:div>
        <w:div w:id="1982542663">
          <w:marLeft w:val="0"/>
          <w:marRight w:val="0"/>
          <w:marTop w:val="0"/>
          <w:marBottom w:val="0"/>
          <w:divBdr>
            <w:top w:val="none" w:sz="0" w:space="0" w:color="auto"/>
            <w:left w:val="none" w:sz="0" w:space="0" w:color="auto"/>
            <w:bottom w:val="none" w:sz="0" w:space="0" w:color="auto"/>
            <w:right w:val="none" w:sz="0" w:space="0" w:color="auto"/>
          </w:divBdr>
          <w:divsChild>
            <w:div w:id="965966046">
              <w:marLeft w:val="0"/>
              <w:marRight w:val="0"/>
              <w:marTop w:val="0"/>
              <w:marBottom w:val="0"/>
              <w:divBdr>
                <w:top w:val="none" w:sz="0" w:space="0" w:color="auto"/>
                <w:left w:val="none" w:sz="0" w:space="0" w:color="auto"/>
                <w:bottom w:val="none" w:sz="0" w:space="0" w:color="auto"/>
                <w:right w:val="none" w:sz="0" w:space="0" w:color="auto"/>
              </w:divBdr>
            </w:div>
          </w:divsChild>
        </w:div>
        <w:div w:id="688415679">
          <w:marLeft w:val="0"/>
          <w:marRight w:val="0"/>
          <w:marTop w:val="0"/>
          <w:marBottom w:val="0"/>
          <w:divBdr>
            <w:top w:val="none" w:sz="0" w:space="0" w:color="auto"/>
            <w:left w:val="none" w:sz="0" w:space="0" w:color="auto"/>
            <w:bottom w:val="none" w:sz="0" w:space="0" w:color="auto"/>
            <w:right w:val="none" w:sz="0" w:space="0" w:color="auto"/>
          </w:divBdr>
          <w:divsChild>
            <w:div w:id="809321161">
              <w:marLeft w:val="0"/>
              <w:marRight w:val="0"/>
              <w:marTop w:val="0"/>
              <w:marBottom w:val="0"/>
              <w:divBdr>
                <w:top w:val="none" w:sz="0" w:space="0" w:color="auto"/>
                <w:left w:val="none" w:sz="0" w:space="0" w:color="auto"/>
                <w:bottom w:val="none" w:sz="0" w:space="0" w:color="auto"/>
                <w:right w:val="none" w:sz="0" w:space="0" w:color="auto"/>
              </w:divBdr>
            </w:div>
          </w:divsChild>
        </w:div>
        <w:div w:id="1906841696">
          <w:marLeft w:val="0"/>
          <w:marRight w:val="0"/>
          <w:marTop w:val="0"/>
          <w:marBottom w:val="0"/>
          <w:divBdr>
            <w:top w:val="none" w:sz="0" w:space="0" w:color="auto"/>
            <w:left w:val="none" w:sz="0" w:space="0" w:color="auto"/>
            <w:bottom w:val="none" w:sz="0" w:space="0" w:color="auto"/>
            <w:right w:val="none" w:sz="0" w:space="0" w:color="auto"/>
          </w:divBdr>
          <w:divsChild>
            <w:div w:id="1042098432">
              <w:marLeft w:val="0"/>
              <w:marRight w:val="0"/>
              <w:marTop w:val="0"/>
              <w:marBottom w:val="0"/>
              <w:divBdr>
                <w:top w:val="none" w:sz="0" w:space="0" w:color="auto"/>
                <w:left w:val="none" w:sz="0" w:space="0" w:color="auto"/>
                <w:bottom w:val="none" w:sz="0" w:space="0" w:color="auto"/>
                <w:right w:val="none" w:sz="0" w:space="0" w:color="auto"/>
              </w:divBdr>
            </w:div>
          </w:divsChild>
        </w:div>
        <w:div w:id="2109764490">
          <w:marLeft w:val="0"/>
          <w:marRight w:val="0"/>
          <w:marTop w:val="0"/>
          <w:marBottom w:val="0"/>
          <w:divBdr>
            <w:top w:val="none" w:sz="0" w:space="0" w:color="auto"/>
            <w:left w:val="none" w:sz="0" w:space="0" w:color="auto"/>
            <w:bottom w:val="none" w:sz="0" w:space="0" w:color="auto"/>
            <w:right w:val="none" w:sz="0" w:space="0" w:color="auto"/>
          </w:divBdr>
          <w:divsChild>
            <w:div w:id="665327087">
              <w:marLeft w:val="0"/>
              <w:marRight w:val="0"/>
              <w:marTop w:val="0"/>
              <w:marBottom w:val="0"/>
              <w:divBdr>
                <w:top w:val="none" w:sz="0" w:space="0" w:color="auto"/>
                <w:left w:val="none" w:sz="0" w:space="0" w:color="auto"/>
                <w:bottom w:val="none" w:sz="0" w:space="0" w:color="auto"/>
                <w:right w:val="none" w:sz="0" w:space="0" w:color="auto"/>
              </w:divBdr>
            </w:div>
          </w:divsChild>
        </w:div>
        <w:div w:id="376395881">
          <w:marLeft w:val="0"/>
          <w:marRight w:val="0"/>
          <w:marTop w:val="0"/>
          <w:marBottom w:val="0"/>
          <w:divBdr>
            <w:top w:val="none" w:sz="0" w:space="0" w:color="auto"/>
            <w:left w:val="none" w:sz="0" w:space="0" w:color="auto"/>
            <w:bottom w:val="none" w:sz="0" w:space="0" w:color="auto"/>
            <w:right w:val="none" w:sz="0" w:space="0" w:color="auto"/>
          </w:divBdr>
          <w:divsChild>
            <w:div w:id="296565521">
              <w:marLeft w:val="0"/>
              <w:marRight w:val="0"/>
              <w:marTop w:val="0"/>
              <w:marBottom w:val="0"/>
              <w:divBdr>
                <w:top w:val="none" w:sz="0" w:space="0" w:color="auto"/>
                <w:left w:val="none" w:sz="0" w:space="0" w:color="auto"/>
                <w:bottom w:val="none" w:sz="0" w:space="0" w:color="auto"/>
                <w:right w:val="none" w:sz="0" w:space="0" w:color="auto"/>
              </w:divBdr>
            </w:div>
          </w:divsChild>
        </w:div>
        <w:div w:id="1999842887">
          <w:marLeft w:val="0"/>
          <w:marRight w:val="0"/>
          <w:marTop w:val="0"/>
          <w:marBottom w:val="0"/>
          <w:divBdr>
            <w:top w:val="none" w:sz="0" w:space="0" w:color="auto"/>
            <w:left w:val="none" w:sz="0" w:space="0" w:color="auto"/>
            <w:bottom w:val="none" w:sz="0" w:space="0" w:color="auto"/>
            <w:right w:val="none" w:sz="0" w:space="0" w:color="auto"/>
          </w:divBdr>
          <w:divsChild>
            <w:div w:id="1298946828">
              <w:marLeft w:val="0"/>
              <w:marRight w:val="0"/>
              <w:marTop w:val="0"/>
              <w:marBottom w:val="0"/>
              <w:divBdr>
                <w:top w:val="none" w:sz="0" w:space="0" w:color="auto"/>
                <w:left w:val="none" w:sz="0" w:space="0" w:color="auto"/>
                <w:bottom w:val="none" w:sz="0" w:space="0" w:color="auto"/>
                <w:right w:val="none" w:sz="0" w:space="0" w:color="auto"/>
              </w:divBdr>
            </w:div>
          </w:divsChild>
        </w:div>
        <w:div w:id="1693409558">
          <w:marLeft w:val="0"/>
          <w:marRight w:val="0"/>
          <w:marTop w:val="0"/>
          <w:marBottom w:val="0"/>
          <w:divBdr>
            <w:top w:val="none" w:sz="0" w:space="0" w:color="auto"/>
            <w:left w:val="none" w:sz="0" w:space="0" w:color="auto"/>
            <w:bottom w:val="none" w:sz="0" w:space="0" w:color="auto"/>
            <w:right w:val="none" w:sz="0" w:space="0" w:color="auto"/>
          </w:divBdr>
          <w:divsChild>
            <w:div w:id="2128114659">
              <w:marLeft w:val="0"/>
              <w:marRight w:val="0"/>
              <w:marTop w:val="0"/>
              <w:marBottom w:val="0"/>
              <w:divBdr>
                <w:top w:val="none" w:sz="0" w:space="0" w:color="auto"/>
                <w:left w:val="none" w:sz="0" w:space="0" w:color="auto"/>
                <w:bottom w:val="none" w:sz="0" w:space="0" w:color="auto"/>
                <w:right w:val="none" w:sz="0" w:space="0" w:color="auto"/>
              </w:divBdr>
            </w:div>
          </w:divsChild>
        </w:div>
        <w:div w:id="1952779339">
          <w:marLeft w:val="0"/>
          <w:marRight w:val="0"/>
          <w:marTop w:val="0"/>
          <w:marBottom w:val="0"/>
          <w:divBdr>
            <w:top w:val="none" w:sz="0" w:space="0" w:color="auto"/>
            <w:left w:val="none" w:sz="0" w:space="0" w:color="auto"/>
            <w:bottom w:val="none" w:sz="0" w:space="0" w:color="auto"/>
            <w:right w:val="none" w:sz="0" w:space="0" w:color="auto"/>
          </w:divBdr>
          <w:divsChild>
            <w:div w:id="699353797">
              <w:marLeft w:val="0"/>
              <w:marRight w:val="0"/>
              <w:marTop w:val="0"/>
              <w:marBottom w:val="0"/>
              <w:divBdr>
                <w:top w:val="none" w:sz="0" w:space="0" w:color="auto"/>
                <w:left w:val="none" w:sz="0" w:space="0" w:color="auto"/>
                <w:bottom w:val="none" w:sz="0" w:space="0" w:color="auto"/>
                <w:right w:val="none" w:sz="0" w:space="0" w:color="auto"/>
              </w:divBdr>
            </w:div>
          </w:divsChild>
        </w:div>
        <w:div w:id="529608103">
          <w:marLeft w:val="0"/>
          <w:marRight w:val="0"/>
          <w:marTop w:val="0"/>
          <w:marBottom w:val="0"/>
          <w:divBdr>
            <w:top w:val="none" w:sz="0" w:space="0" w:color="auto"/>
            <w:left w:val="none" w:sz="0" w:space="0" w:color="auto"/>
            <w:bottom w:val="none" w:sz="0" w:space="0" w:color="auto"/>
            <w:right w:val="none" w:sz="0" w:space="0" w:color="auto"/>
          </w:divBdr>
          <w:divsChild>
            <w:div w:id="827475009">
              <w:marLeft w:val="0"/>
              <w:marRight w:val="0"/>
              <w:marTop w:val="0"/>
              <w:marBottom w:val="0"/>
              <w:divBdr>
                <w:top w:val="none" w:sz="0" w:space="0" w:color="auto"/>
                <w:left w:val="none" w:sz="0" w:space="0" w:color="auto"/>
                <w:bottom w:val="none" w:sz="0" w:space="0" w:color="auto"/>
                <w:right w:val="none" w:sz="0" w:space="0" w:color="auto"/>
              </w:divBdr>
            </w:div>
          </w:divsChild>
        </w:div>
        <w:div w:id="1731925812">
          <w:marLeft w:val="0"/>
          <w:marRight w:val="0"/>
          <w:marTop w:val="0"/>
          <w:marBottom w:val="0"/>
          <w:divBdr>
            <w:top w:val="none" w:sz="0" w:space="0" w:color="auto"/>
            <w:left w:val="none" w:sz="0" w:space="0" w:color="auto"/>
            <w:bottom w:val="none" w:sz="0" w:space="0" w:color="auto"/>
            <w:right w:val="none" w:sz="0" w:space="0" w:color="auto"/>
          </w:divBdr>
          <w:divsChild>
            <w:div w:id="1949465478">
              <w:marLeft w:val="0"/>
              <w:marRight w:val="0"/>
              <w:marTop w:val="0"/>
              <w:marBottom w:val="0"/>
              <w:divBdr>
                <w:top w:val="none" w:sz="0" w:space="0" w:color="auto"/>
                <w:left w:val="none" w:sz="0" w:space="0" w:color="auto"/>
                <w:bottom w:val="none" w:sz="0" w:space="0" w:color="auto"/>
                <w:right w:val="none" w:sz="0" w:space="0" w:color="auto"/>
              </w:divBdr>
            </w:div>
          </w:divsChild>
        </w:div>
        <w:div w:id="2082168158">
          <w:marLeft w:val="0"/>
          <w:marRight w:val="0"/>
          <w:marTop w:val="0"/>
          <w:marBottom w:val="0"/>
          <w:divBdr>
            <w:top w:val="none" w:sz="0" w:space="0" w:color="auto"/>
            <w:left w:val="none" w:sz="0" w:space="0" w:color="auto"/>
            <w:bottom w:val="none" w:sz="0" w:space="0" w:color="auto"/>
            <w:right w:val="none" w:sz="0" w:space="0" w:color="auto"/>
          </w:divBdr>
          <w:divsChild>
            <w:div w:id="929001169">
              <w:marLeft w:val="0"/>
              <w:marRight w:val="0"/>
              <w:marTop w:val="0"/>
              <w:marBottom w:val="0"/>
              <w:divBdr>
                <w:top w:val="none" w:sz="0" w:space="0" w:color="auto"/>
                <w:left w:val="none" w:sz="0" w:space="0" w:color="auto"/>
                <w:bottom w:val="none" w:sz="0" w:space="0" w:color="auto"/>
                <w:right w:val="none" w:sz="0" w:space="0" w:color="auto"/>
              </w:divBdr>
            </w:div>
          </w:divsChild>
        </w:div>
        <w:div w:id="1136487730">
          <w:marLeft w:val="0"/>
          <w:marRight w:val="0"/>
          <w:marTop w:val="0"/>
          <w:marBottom w:val="0"/>
          <w:divBdr>
            <w:top w:val="none" w:sz="0" w:space="0" w:color="auto"/>
            <w:left w:val="none" w:sz="0" w:space="0" w:color="auto"/>
            <w:bottom w:val="none" w:sz="0" w:space="0" w:color="auto"/>
            <w:right w:val="none" w:sz="0" w:space="0" w:color="auto"/>
          </w:divBdr>
          <w:divsChild>
            <w:div w:id="1887640903">
              <w:marLeft w:val="0"/>
              <w:marRight w:val="0"/>
              <w:marTop w:val="0"/>
              <w:marBottom w:val="0"/>
              <w:divBdr>
                <w:top w:val="none" w:sz="0" w:space="0" w:color="auto"/>
                <w:left w:val="none" w:sz="0" w:space="0" w:color="auto"/>
                <w:bottom w:val="none" w:sz="0" w:space="0" w:color="auto"/>
                <w:right w:val="none" w:sz="0" w:space="0" w:color="auto"/>
              </w:divBdr>
            </w:div>
          </w:divsChild>
        </w:div>
        <w:div w:id="807168846">
          <w:marLeft w:val="0"/>
          <w:marRight w:val="0"/>
          <w:marTop w:val="0"/>
          <w:marBottom w:val="0"/>
          <w:divBdr>
            <w:top w:val="none" w:sz="0" w:space="0" w:color="auto"/>
            <w:left w:val="none" w:sz="0" w:space="0" w:color="auto"/>
            <w:bottom w:val="none" w:sz="0" w:space="0" w:color="auto"/>
            <w:right w:val="none" w:sz="0" w:space="0" w:color="auto"/>
          </w:divBdr>
          <w:divsChild>
            <w:div w:id="1043557194">
              <w:marLeft w:val="0"/>
              <w:marRight w:val="0"/>
              <w:marTop w:val="0"/>
              <w:marBottom w:val="0"/>
              <w:divBdr>
                <w:top w:val="none" w:sz="0" w:space="0" w:color="auto"/>
                <w:left w:val="none" w:sz="0" w:space="0" w:color="auto"/>
                <w:bottom w:val="none" w:sz="0" w:space="0" w:color="auto"/>
                <w:right w:val="none" w:sz="0" w:space="0" w:color="auto"/>
              </w:divBdr>
            </w:div>
          </w:divsChild>
        </w:div>
        <w:div w:id="1934390288">
          <w:marLeft w:val="0"/>
          <w:marRight w:val="0"/>
          <w:marTop w:val="0"/>
          <w:marBottom w:val="0"/>
          <w:divBdr>
            <w:top w:val="none" w:sz="0" w:space="0" w:color="auto"/>
            <w:left w:val="none" w:sz="0" w:space="0" w:color="auto"/>
            <w:bottom w:val="none" w:sz="0" w:space="0" w:color="auto"/>
            <w:right w:val="none" w:sz="0" w:space="0" w:color="auto"/>
          </w:divBdr>
          <w:divsChild>
            <w:div w:id="1191145466">
              <w:marLeft w:val="0"/>
              <w:marRight w:val="0"/>
              <w:marTop w:val="0"/>
              <w:marBottom w:val="0"/>
              <w:divBdr>
                <w:top w:val="none" w:sz="0" w:space="0" w:color="auto"/>
                <w:left w:val="none" w:sz="0" w:space="0" w:color="auto"/>
                <w:bottom w:val="none" w:sz="0" w:space="0" w:color="auto"/>
                <w:right w:val="none" w:sz="0" w:space="0" w:color="auto"/>
              </w:divBdr>
            </w:div>
          </w:divsChild>
        </w:div>
        <w:div w:id="1255361637">
          <w:marLeft w:val="0"/>
          <w:marRight w:val="0"/>
          <w:marTop w:val="0"/>
          <w:marBottom w:val="0"/>
          <w:divBdr>
            <w:top w:val="none" w:sz="0" w:space="0" w:color="auto"/>
            <w:left w:val="none" w:sz="0" w:space="0" w:color="auto"/>
            <w:bottom w:val="none" w:sz="0" w:space="0" w:color="auto"/>
            <w:right w:val="none" w:sz="0" w:space="0" w:color="auto"/>
          </w:divBdr>
          <w:divsChild>
            <w:div w:id="650642771">
              <w:marLeft w:val="0"/>
              <w:marRight w:val="0"/>
              <w:marTop w:val="0"/>
              <w:marBottom w:val="0"/>
              <w:divBdr>
                <w:top w:val="none" w:sz="0" w:space="0" w:color="auto"/>
                <w:left w:val="none" w:sz="0" w:space="0" w:color="auto"/>
                <w:bottom w:val="none" w:sz="0" w:space="0" w:color="auto"/>
                <w:right w:val="none" w:sz="0" w:space="0" w:color="auto"/>
              </w:divBdr>
            </w:div>
          </w:divsChild>
        </w:div>
        <w:div w:id="1127116455">
          <w:marLeft w:val="0"/>
          <w:marRight w:val="0"/>
          <w:marTop w:val="0"/>
          <w:marBottom w:val="0"/>
          <w:divBdr>
            <w:top w:val="none" w:sz="0" w:space="0" w:color="auto"/>
            <w:left w:val="none" w:sz="0" w:space="0" w:color="auto"/>
            <w:bottom w:val="none" w:sz="0" w:space="0" w:color="auto"/>
            <w:right w:val="none" w:sz="0" w:space="0" w:color="auto"/>
          </w:divBdr>
          <w:divsChild>
            <w:div w:id="1827551698">
              <w:marLeft w:val="0"/>
              <w:marRight w:val="0"/>
              <w:marTop w:val="0"/>
              <w:marBottom w:val="0"/>
              <w:divBdr>
                <w:top w:val="none" w:sz="0" w:space="0" w:color="auto"/>
                <w:left w:val="none" w:sz="0" w:space="0" w:color="auto"/>
                <w:bottom w:val="none" w:sz="0" w:space="0" w:color="auto"/>
                <w:right w:val="none" w:sz="0" w:space="0" w:color="auto"/>
              </w:divBdr>
            </w:div>
          </w:divsChild>
        </w:div>
        <w:div w:id="1097410890">
          <w:marLeft w:val="0"/>
          <w:marRight w:val="0"/>
          <w:marTop w:val="0"/>
          <w:marBottom w:val="0"/>
          <w:divBdr>
            <w:top w:val="none" w:sz="0" w:space="0" w:color="auto"/>
            <w:left w:val="none" w:sz="0" w:space="0" w:color="auto"/>
            <w:bottom w:val="none" w:sz="0" w:space="0" w:color="auto"/>
            <w:right w:val="none" w:sz="0" w:space="0" w:color="auto"/>
          </w:divBdr>
          <w:divsChild>
            <w:div w:id="448009833">
              <w:marLeft w:val="0"/>
              <w:marRight w:val="0"/>
              <w:marTop w:val="0"/>
              <w:marBottom w:val="0"/>
              <w:divBdr>
                <w:top w:val="none" w:sz="0" w:space="0" w:color="auto"/>
                <w:left w:val="none" w:sz="0" w:space="0" w:color="auto"/>
                <w:bottom w:val="none" w:sz="0" w:space="0" w:color="auto"/>
                <w:right w:val="none" w:sz="0" w:space="0" w:color="auto"/>
              </w:divBdr>
            </w:div>
          </w:divsChild>
        </w:div>
        <w:div w:id="1932935122">
          <w:marLeft w:val="0"/>
          <w:marRight w:val="0"/>
          <w:marTop w:val="0"/>
          <w:marBottom w:val="0"/>
          <w:divBdr>
            <w:top w:val="none" w:sz="0" w:space="0" w:color="auto"/>
            <w:left w:val="none" w:sz="0" w:space="0" w:color="auto"/>
            <w:bottom w:val="none" w:sz="0" w:space="0" w:color="auto"/>
            <w:right w:val="none" w:sz="0" w:space="0" w:color="auto"/>
          </w:divBdr>
          <w:divsChild>
            <w:div w:id="233784104">
              <w:marLeft w:val="0"/>
              <w:marRight w:val="0"/>
              <w:marTop w:val="0"/>
              <w:marBottom w:val="0"/>
              <w:divBdr>
                <w:top w:val="none" w:sz="0" w:space="0" w:color="auto"/>
                <w:left w:val="none" w:sz="0" w:space="0" w:color="auto"/>
                <w:bottom w:val="none" w:sz="0" w:space="0" w:color="auto"/>
                <w:right w:val="none" w:sz="0" w:space="0" w:color="auto"/>
              </w:divBdr>
            </w:div>
          </w:divsChild>
        </w:div>
        <w:div w:id="1565871160">
          <w:marLeft w:val="0"/>
          <w:marRight w:val="0"/>
          <w:marTop w:val="0"/>
          <w:marBottom w:val="0"/>
          <w:divBdr>
            <w:top w:val="none" w:sz="0" w:space="0" w:color="auto"/>
            <w:left w:val="none" w:sz="0" w:space="0" w:color="auto"/>
            <w:bottom w:val="none" w:sz="0" w:space="0" w:color="auto"/>
            <w:right w:val="none" w:sz="0" w:space="0" w:color="auto"/>
          </w:divBdr>
          <w:divsChild>
            <w:div w:id="1816020165">
              <w:marLeft w:val="0"/>
              <w:marRight w:val="0"/>
              <w:marTop w:val="0"/>
              <w:marBottom w:val="0"/>
              <w:divBdr>
                <w:top w:val="none" w:sz="0" w:space="0" w:color="auto"/>
                <w:left w:val="none" w:sz="0" w:space="0" w:color="auto"/>
                <w:bottom w:val="none" w:sz="0" w:space="0" w:color="auto"/>
                <w:right w:val="none" w:sz="0" w:space="0" w:color="auto"/>
              </w:divBdr>
            </w:div>
          </w:divsChild>
        </w:div>
        <w:div w:id="737215492">
          <w:marLeft w:val="0"/>
          <w:marRight w:val="0"/>
          <w:marTop w:val="0"/>
          <w:marBottom w:val="0"/>
          <w:divBdr>
            <w:top w:val="none" w:sz="0" w:space="0" w:color="auto"/>
            <w:left w:val="none" w:sz="0" w:space="0" w:color="auto"/>
            <w:bottom w:val="none" w:sz="0" w:space="0" w:color="auto"/>
            <w:right w:val="none" w:sz="0" w:space="0" w:color="auto"/>
          </w:divBdr>
          <w:divsChild>
            <w:div w:id="440075152">
              <w:marLeft w:val="0"/>
              <w:marRight w:val="0"/>
              <w:marTop w:val="0"/>
              <w:marBottom w:val="0"/>
              <w:divBdr>
                <w:top w:val="none" w:sz="0" w:space="0" w:color="auto"/>
                <w:left w:val="none" w:sz="0" w:space="0" w:color="auto"/>
                <w:bottom w:val="none" w:sz="0" w:space="0" w:color="auto"/>
                <w:right w:val="none" w:sz="0" w:space="0" w:color="auto"/>
              </w:divBdr>
            </w:div>
          </w:divsChild>
        </w:div>
        <w:div w:id="570434064">
          <w:marLeft w:val="0"/>
          <w:marRight w:val="0"/>
          <w:marTop w:val="0"/>
          <w:marBottom w:val="0"/>
          <w:divBdr>
            <w:top w:val="none" w:sz="0" w:space="0" w:color="auto"/>
            <w:left w:val="none" w:sz="0" w:space="0" w:color="auto"/>
            <w:bottom w:val="none" w:sz="0" w:space="0" w:color="auto"/>
            <w:right w:val="none" w:sz="0" w:space="0" w:color="auto"/>
          </w:divBdr>
          <w:divsChild>
            <w:div w:id="516696698">
              <w:marLeft w:val="0"/>
              <w:marRight w:val="0"/>
              <w:marTop w:val="0"/>
              <w:marBottom w:val="0"/>
              <w:divBdr>
                <w:top w:val="none" w:sz="0" w:space="0" w:color="auto"/>
                <w:left w:val="none" w:sz="0" w:space="0" w:color="auto"/>
                <w:bottom w:val="none" w:sz="0" w:space="0" w:color="auto"/>
                <w:right w:val="none" w:sz="0" w:space="0" w:color="auto"/>
              </w:divBdr>
            </w:div>
          </w:divsChild>
        </w:div>
        <w:div w:id="452672645">
          <w:marLeft w:val="0"/>
          <w:marRight w:val="0"/>
          <w:marTop w:val="0"/>
          <w:marBottom w:val="0"/>
          <w:divBdr>
            <w:top w:val="none" w:sz="0" w:space="0" w:color="auto"/>
            <w:left w:val="none" w:sz="0" w:space="0" w:color="auto"/>
            <w:bottom w:val="none" w:sz="0" w:space="0" w:color="auto"/>
            <w:right w:val="none" w:sz="0" w:space="0" w:color="auto"/>
          </w:divBdr>
          <w:divsChild>
            <w:div w:id="1602686511">
              <w:marLeft w:val="0"/>
              <w:marRight w:val="0"/>
              <w:marTop w:val="0"/>
              <w:marBottom w:val="0"/>
              <w:divBdr>
                <w:top w:val="none" w:sz="0" w:space="0" w:color="auto"/>
                <w:left w:val="none" w:sz="0" w:space="0" w:color="auto"/>
                <w:bottom w:val="none" w:sz="0" w:space="0" w:color="auto"/>
                <w:right w:val="none" w:sz="0" w:space="0" w:color="auto"/>
              </w:divBdr>
            </w:div>
          </w:divsChild>
        </w:div>
        <w:div w:id="1432581881">
          <w:marLeft w:val="0"/>
          <w:marRight w:val="0"/>
          <w:marTop w:val="0"/>
          <w:marBottom w:val="0"/>
          <w:divBdr>
            <w:top w:val="none" w:sz="0" w:space="0" w:color="auto"/>
            <w:left w:val="none" w:sz="0" w:space="0" w:color="auto"/>
            <w:bottom w:val="none" w:sz="0" w:space="0" w:color="auto"/>
            <w:right w:val="none" w:sz="0" w:space="0" w:color="auto"/>
          </w:divBdr>
          <w:divsChild>
            <w:div w:id="1664091629">
              <w:marLeft w:val="0"/>
              <w:marRight w:val="0"/>
              <w:marTop w:val="0"/>
              <w:marBottom w:val="0"/>
              <w:divBdr>
                <w:top w:val="none" w:sz="0" w:space="0" w:color="auto"/>
                <w:left w:val="none" w:sz="0" w:space="0" w:color="auto"/>
                <w:bottom w:val="none" w:sz="0" w:space="0" w:color="auto"/>
                <w:right w:val="none" w:sz="0" w:space="0" w:color="auto"/>
              </w:divBdr>
            </w:div>
          </w:divsChild>
        </w:div>
        <w:div w:id="1117413776">
          <w:marLeft w:val="0"/>
          <w:marRight w:val="0"/>
          <w:marTop w:val="0"/>
          <w:marBottom w:val="0"/>
          <w:divBdr>
            <w:top w:val="none" w:sz="0" w:space="0" w:color="auto"/>
            <w:left w:val="none" w:sz="0" w:space="0" w:color="auto"/>
            <w:bottom w:val="none" w:sz="0" w:space="0" w:color="auto"/>
            <w:right w:val="none" w:sz="0" w:space="0" w:color="auto"/>
          </w:divBdr>
          <w:divsChild>
            <w:div w:id="1711997283">
              <w:marLeft w:val="0"/>
              <w:marRight w:val="0"/>
              <w:marTop w:val="0"/>
              <w:marBottom w:val="0"/>
              <w:divBdr>
                <w:top w:val="none" w:sz="0" w:space="0" w:color="auto"/>
                <w:left w:val="none" w:sz="0" w:space="0" w:color="auto"/>
                <w:bottom w:val="none" w:sz="0" w:space="0" w:color="auto"/>
                <w:right w:val="none" w:sz="0" w:space="0" w:color="auto"/>
              </w:divBdr>
            </w:div>
          </w:divsChild>
        </w:div>
        <w:div w:id="26685160">
          <w:marLeft w:val="0"/>
          <w:marRight w:val="0"/>
          <w:marTop w:val="0"/>
          <w:marBottom w:val="0"/>
          <w:divBdr>
            <w:top w:val="none" w:sz="0" w:space="0" w:color="auto"/>
            <w:left w:val="none" w:sz="0" w:space="0" w:color="auto"/>
            <w:bottom w:val="none" w:sz="0" w:space="0" w:color="auto"/>
            <w:right w:val="none" w:sz="0" w:space="0" w:color="auto"/>
          </w:divBdr>
          <w:divsChild>
            <w:div w:id="20118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3972">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281977">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81DBD5-5EF7-4272-A48A-3DA6E96C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58</Pages>
  <Words>11021</Words>
  <Characters>60618</Characters>
  <Application>Microsoft Office Word</Application>
  <DocSecurity>0</DocSecurity>
  <Lines>505</Lines>
  <Paragraphs>142</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71497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Suelem Janeth González Rodríguez</cp:lastModifiedBy>
  <cp:revision>8</cp:revision>
  <cp:lastPrinted>2024-08-13T20:49:00Z</cp:lastPrinted>
  <dcterms:created xsi:type="dcterms:W3CDTF">2024-08-13T18:50:00Z</dcterms:created>
  <dcterms:modified xsi:type="dcterms:W3CDTF">2024-08-13T22:04:00Z</dcterms:modified>
</cp:coreProperties>
</file>